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</w:pPr>
      <w:r>
        <w:rPr>
          <w:b/>
          <w:bCs/>
          <w:color w:val="F2A516"/>
          <w:sz w:val="22"/>
          <w:szCs w:val="22"/>
        </w:rPr>
        <w:t xml:space="preserve">EXECUTIVE BRIEFING</w:t>
      </w:r>
    </w:p>
    <w:p>
      <w:pPr>
        <w:spacing w:after="200"/>
      </w:pPr>
      <w:r>
        <w:rPr>
          <w:b/>
          <w:bCs/>
          <w:color w:val="2A78D6"/>
          <w:sz w:val="56"/>
          <w:szCs w:val="56"/>
        </w:rPr>
        <w:t xml:space="preserve">Building a Beam-Class LLM</w:t>
      </w:r>
    </w:p>
    <w:p>
      <w:pPr>
        <w:spacing w:after="500"/>
      </w:pPr>
      <w:r>
        <w:rPr>
          <w:sz w:val="28"/>
          <w:szCs w:val="28"/>
        </w:rPr>
        <w:t xml:space="preserve">Should we develop a new open model that competes with Anthropic, OpenAI, Google, xAI and Meta? Findings, options, investment and the decision requested.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Yossi Avni and the executive / investment committee</w:t>
            </w:r>
          </w:p>
        </w:tc>
      </w:tr>
      <w:t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 October 2026</w:t>
            </w:r>
          </w:p>
        </w:tc>
      </w:tr>
      <w:t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 with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Beam_Executive_Summary.pptx (18 slides, with animated explainers on slides 4–5) — this briefing follows the same storyline</w:t>
            </w:r>
          </w:p>
        </w:tc>
      </w:tr>
      <w:t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Evidence base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Beam_Research_Baseline.docx v2.0 (37 pages, 42 sources)</w:t>
            </w:r>
          </w:p>
        </w:tc>
      </w:tr>
      <w:t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Reading time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15 minutes</w:t>
            </w:r>
          </w:p>
        </w:tc>
      </w:tr>
      <w:tr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requested</w:t>
            </w:r>
          </w:p>
        </w:tc>
        <w:tc>
          <w:tcPr>
            <w:tcW w:type="dxa" w:w="6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Stage 1 (≈ US$11M; first model in 3–6 months) and the choice of target market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Estimates of cost, GPU-hours and headcount are the author’s, derived from Reflection AI’s disclosed training scale. Benchmark figures are vendor-reported unless described as independent.</w:t>
      </w:r>
    </w:p>
    <w:p>
      <w:pPr>
        <w:pStyle w:val="Heading1"/>
        <w:pageBreakBefore/>
      </w:pPr>
      <w:r>
        <w:t xml:space="preserve">1. One-page summary</w:t>
      </w:r>
    </w:p>
    <w:p>
      <w:pPr>
        <w:pStyle w:val="Heading3"/>
      </w:pPr>
      <w:r>
        <w:t xml:space="preserve">Situation</w:t>
      </w:r>
    </w:p>
    <w:p>
      <w:pPr>
        <w:spacing w:after="120"/>
      </w:pPr>
      <w:r>
        <w:t xml:space="preserve">Reflection AI released Beam 1.0 on 16 October 2026: a 501-billion-parameter open-weight model (23.4B active per token) under the permissive Apache 2.0 licence, built for coding and agentic work and launched with 40+ partners including AWS, Google Cloud, Microsoft Azure and NVIDIA. It shows that a well-funded start-up can train a credible large model in under two years, and it makes a strong, free starting point available to anyone.</w:t>
      </w:r>
    </w:p>
    <w:p>
      <w:pPr>
        <w:pStyle w:val="Heading3"/>
      </w:pPr>
      <w:r>
        <w:t xml:space="preserve">Complication</w:t>
      </w:r>
    </w:p>
    <w:p>
      <w:pPr>
        <w:spacing w:after="120"/>
      </w:pPr>
      <w:r>
        <w:t xml:space="preserve">Beam is efficient but not frontier-class. On the only independent single-scale comparison (Artificial Analysis Intelligence Index) it scores 30 — versus 44–46 for the best Chinese open models and Grok 4.7, ~53 for OpenAI’s GPT-6 Astra and Google’s Gemini 4 Argon, and 58 for Anthropic’s Claude Opus 5.5. Meanwhile enterprises are concentrating spend on closed models: Anthropic (40%) and OpenAI (27%) lead, and open-weight models’ share fell from 19% to 11% in a year.</w:t>
      </w:r>
    </w:p>
    <w:p>
      <w:pPr>
        <w:pStyle w:val="Heading3"/>
      </w:pPr>
      <w:r>
        <w:t xml:space="preserve">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 not race the leaderboard. </w:t>
      </w:r>
      <w:r>
        <w:t xml:space="preserve">Matching Anthropic/OpenAI/Google requires US$1B+ per model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where closed models cannot follow: </w:t>
      </w:r>
      <w:r>
        <w:t xml:space="preserve">sovereign and on-premises AI, regulated industries, domain specialists, under-served languages, and cost-sensitive agent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from Beam’s open weights (Stage 1, ≈ US$11M). </w:t>
      </w:r>
      <w:r>
        <w:t xml:space="preserve">Prove the data, reinforcement-learning and evaluation capability and win first customers within 6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Gate further investment. </w:t>
      </w:r>
      <w:r>
        <w:t xml:space="preserve">Only at month 9, with proven demand and ≥ US$150M secured, commit to continued pre-training (≈ US$56M) or a from-scratch model (≈ US$175M).</w:t>
      </w:r>
    </w:p>
    <w:p>
      <w:pPr>
        <w:pStyle w:val="Heading3"/>
      </w:pPr>
      <w:r>
        <w:t xml:space="preserve">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 vs 58</w:t>
            </w:r>
          </w:p>
        </w:tc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US$11M → US$175M</w:t>
            </w:r>
          </w:p>
        </w:tc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11%</w:t>
            </w:r>
          </w:p>
        </w:tc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3–6 months</w:t>
            </w:r>
          </w:p>
        </w:tc>
      </w:tr>
      <w:tr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vs. leader, independent index</w:t>
            </w:r>
          </w:p>
        </w:tc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 Beam → build from scratch (2-yr, indicative)</w:t>
            </w:r>
          </w:p>
        </w:tc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Open-weight share of enterprise API spend</w:t>
            </w:r>
          </w:p>
        </w:tc>
        <w:tc>
          <w:tcPr>
            <w:tcW w:type="dxa" w:w="234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to a first adapted model</w:t>
            </w:r>
          </w:p>
        </w:tc>
      </w:tr>
    </w:tbl>
    <w:p>
      <w:pPr>
        <w:pStyle w:val="Heading1"/>
        <w:pageBreakBefore/>
      </w:pPr>
      <w:r>
        <w:t xml:space="preserve">2. What Reflection AI has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Beam 1.0</w:t>
            </w:r>
          </w:p>
        </w:tc>
      </w:tr>
      <w:tr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7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501.3B total parameters; 23.4B active per token (≈4.7%)</w:t>
            </w:r>
          </w:p>
        </w:tc>
      </w:tr>
      <w:tr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7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Mixture-of-Experts: 256 experts, 8 used per token; 52 layers; 512-token sliding-window attention with full-context attention in only 9 layers; 1M-token context</w:t>
            </w:r>
          </w:p>
        </w:tc>
      </w:tr>
      <w:tr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7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23.8T tokens on 6,144 NVIDIA GB300 GPUs (&lt; 4 weeks), then reinforcement learning on 10,500 GB300 GPUs for ~4 weeks across ~1M coding/agent tasks</w:t>
            </w:r>
          </w:p>
        </w:tc>
      </w:tr>
      <w:tr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</w:t>
            </w:r>
          </w:p>
        </w:tc>
        <w:tc>
          <w:tcPr>
            <w:tcW w:type="dxa" w:w="7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Apache 2.0 weights in BF16, FP8 and NVFP4; speculative-decoding drafter; Mirror CLI agent harness; day-0 support in vLLM, SGLang and Transformers</w:t>
            </w:r>
          </w:p>
        </w:tc>
      </w:tr>
      <w:tr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</w:t>
            </w:r>
          </w:p>
        </w:tc>
        <w:tc>
          <w:tcPr>
            <w:tcW w:type="dxa" w:w="7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Founded 2024 by ex-Google DeepMind researchers; US$2B raised Oct 2025 led by NVIDIA; reported valuation talks at ~US$25B in 2026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6072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Beam 1.0 architecture (from the research baseline, Figure 1).</w:t>
      </w:r>
    </w:p>
    <w:p>
      <w:pPr>
        <w:spacing w:after="120"/>
      </w:pPr>
      <w:r>
        <w:rPr>
          <w:b/>
          <w:bCs/>
        </w:rPr>
        <w:t xml:space="preserve">Why it matters to us: </w:t>
      </w:r>
      <w:r>
        <w:t xml:space="preserve">every major design choice in Beam is a published technique, and its weights can be used commercially. The barrier to entry for a capable open model has fallen from hundreds of millions of dollars to roughly ten million for an adapted model.</w:t>
      </w:r>
    </w:p>
    <w:p>
      <w:pPr>
        <w:pStyle w:val="Heading1"/>
        <w:pageBreakBefore/>
      </w:pPr>
      <w:r>
        <w:t xml:space="preserve">3. How Beam compares with the leading vendors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Independent ranking on one scale (Artificial Analysis, October 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1600"/>
        <w:gridCol w:w="15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Vendor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Flagship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 weights?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Independent index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Strategic posture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Opus 5.5 / Sonnet 5.5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 / 56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Capability leader; largest enterprise share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GPT-6 Astra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(gpt-oss open line)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53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reach; premium pricing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4 Argon / 3.8 Flash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(Gemma open line)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52.6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Multimodal; cloud distribution; cheap fast tier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xAI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Grok 4.7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price ($2/$6 per 1M tokens) and speed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Muse Spark (closed); Llama 4 (open)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Partly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 on same index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Distribution; frontier models now closed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Chinese labs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MiMo, GLM, DeepSeek, Kimi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44–46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open scores at the lowest prices</w:t>
            </w:r>
          </w:p>
        </w:tc>
      </w:tr>
      <w:tr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1.0</w:t>
            </w:r>
          </w:p>
        </w:tc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(Apache 2.0)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provenance; efficiency; ecosystem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Reading the gap: </w:t>
      </w:r>
      <w:r>
        <w:t xml:space="preserve">Reflection’s own launch table placed Beam level with GLM-5.2. Independent testing did not confirm this. The lesson for us is to measure every claim — ours and competitors’ — on our own independent harness.</w:t>
      </w:r>
    </w:p>
    <w:p>
      <w:pPr>
        <w:spacing w:after="120"/>
      </w:pPr>
      <w:r>
        <w:rPr>
          <w:b/>
          <w:bCs/>
        </w:rPr>
        <w:t xml:space="preserve">Beam’s real strengths: </w:t>
      </w:r>
      <w:r>
        <w:t xml:space="preserve">it reaches answers with ~40% fewer output tokens than the median model, runs on a single 8-GPU server in 4-bit precision with ≤ 1.7 points quality loss, and is free to modify and resell.</w:t>
      </w:r>
    </w:p>
    <w:p>
      <w:pPr>
        <w:pStyle w:val="Heading1"/>
        <w:pageBreakBefore/>
      </w:pPr>
      <w:r>
        <w:t xml:space="preserve">4. Where a new model can win</w:t>
      </w:r>
    </w:p>
    <w:p>
      <w:pPr>
        <w:spacing w:after="60" w:before="120"/>
        <w:jc w:val="center"/>
      </w:pPr>
      <w:r>
        <w:drawing>
          <wp:inline distT="0" distB="0" distL="0" distR="0">
            <wp:extent cx="530352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Enterprise LLM API spend share (Menlo Ventures, late 2025).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</w:t>
            </w:r>
          </w:p>
        </w:tc>
        <w:tc>
          <w:tcPr>
            <w:tcW w:type="dxa" w:w="3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closed vendors are weak here</w:t>
            </w:r>
          </w:p>
        </w:tc>
        <w:tc>
          <w:tcPr>
            <w:tcW w:type="dxa" w:w="3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we would need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Sovereign &amp; government</w:t>
            </w:r>
          </w:p>
        </w:tc>
        <w:tc>
          <w:tcPr>
            <w:tcW w:type="dxa" w:w="3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Weights cannot leave vendor clouds; Chinese models are often barred</w:t>
            </w:r>
          </w:p>
        </w:tc>
        <w:tc>
          <w:tcPr>
            <w:tcW w:type="dxa" w:w="3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US/EU/allied provenance, on-prem packaging, security accreditation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Regulated industries</w:t>
            </w:r>
          </w:p>
        </w:tc>
        <w:tc>
          <w:tcPr>
            <w:tcW w:type="dxa" w:w="3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Data-residency and audit requirements</w:t>
            </w:r>
          </w:p>
        </w:tc>
        <w:tc>
          <w:tcPr>
            <w:tcW w:type="dxa" w:w="3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Private deployment, audit logs, model documentation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 specialists</w:t>
            </w:r>
          </w:p>
        </w:tc>
        <w:tc>
          <w:tcPr>
            <w:tcW w:type="dxa" w:w="3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General models are not trained on proprietary workflows</w:t>
            </w:r>
          </w:p>
        </w:tc>
        <w:tc>
          <w:tcPr>
            <w:tcW w:type="dxa" w:w="3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data and RL environments from design partners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Under-served languages</w:t>
            </w:r>
          </w:p>
        </w:tc>
        <w:tc>
          <w:tcPr>
            <w:tcW w:type="dxa" w:w="3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commercial priority for global vendors</w:t>
            </w:r>
          </w:p>
        </w:tc>
        <w:tc>
          <w:tcPr>
            <w:tcW w:type="dxa" w:w="3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Targeted data (e.g., Hebrew, Arabic, regional European languages)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High-volume agents</w:t>
            </w:r>
          </w:p>
        </w:tc>
        <w:tc>
          <w:tcPr>
            <w:tcW w:type="dxa" w:w="3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Per-token pricing makes scale expensive</w:t>
            </w:r>
          </w:p>
        </w:tc>
        <w:tc>
          <w:tcPr>
            <w:tcW w:type="dxa" w:w="3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 serving cost; Beam’s token efficiency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Recommendation: </w:t>
      </w:r>
      <w:r>
        <w:t xml:space="preserve">choose one primary and one secondary segment before Stage 1 starts. The choice drives data acquisition, evaluation design and the first customers.</w:t>
      </w:r>
    </w:p>
    <w:p>
      <w:pPr>
        <w:pStyle w:val="Heading1"/>
        <w:pageBreakBefore/>
      </w:pPr>
      <w:r>
        <w:t xml:space="preserve">5. Options and investment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Indicative two-year cost by route (author estimates).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600"/>
        <w:gridCol w:w="2660"/>
      </w:tblGrid>
      <w:tr>
        <w:trPr>
          <w:tblHeader/>
        </w:trP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A. Adapt Beam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B. Continue pre-training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C. Build from scratch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 and reinforcement-learn Beam for our segment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3–6T domain tokens to Beam, then full post-training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architecture, tokenizer and 24T+ token training run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2-year cost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US$11M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US$56M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US$175M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to first model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3–6 months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9–12 months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15–18 months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15–25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40–60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80–120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Expected capability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+ domain gains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+ 5–10 points in domain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parity; path to next tier with more capital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IP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Apache 2.0 derivative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Substantially modified derivative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Fully owned</w:t>
            </w:r>
          </w:p>
        </w:tc>
      </w:tr>
      <w:tr>
        <w:tc>
          <w:tcPr>
            <w:tcW w:type="dxa" w:w="1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 risk</w:t>
            </w:r>
          </w:p>
        </w:tc>
        <w:tc>
          <w:tcPr>
            <w:tcW w:type="dxa" w:w="2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differentiation</w:t>
            </w:r>
          </w:p>
        </w:tc>
        <w:tc>
          <w:tcPr>
            <w:tcW w:type="dxa" w:w="2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cost; forgetting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Execution and capital</w:t>
            </w:r>
          </w:p>
        </w:tc>
      </w:tr>
    </w:tbl>
    <w:p>
      <w:pPr>
        <w:pStyle w:val="Heading2"/>
      </w:pPr>
      <w:r>
        <w:t xml:space="preserve">5.1 Stage 1 budget (option A, 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 item</w:t>
            </w:r>
          </w:p>
        </w:tc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US$M</w:t>
            </w:r>
          </w:p>
        </w:tc>
        <w:tc>
          <w:tcPr>
            <w:tcW w:type="dxa" w:w="4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</w:t>
            </w:r>
          </w:p>
        </w:tc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0.5–1M GPU-hours for fine-tuning, RL and evaluation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People</w:t>
            </w:r>
          </w:p>
        </w:tc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15–25 staff (RL, data, infra, evaluation, product) over the programme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and RL environments</w:t>
            </w:r>
          </w:p>
        </w:tc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Licensing, annotation, design-partner environments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Infrastructure, evaluation, safety</w:t>
            </w:r>
          </w:p>
        </w:tc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Serving stack, red-teaming, third-party evaluation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11</w:t>
            </w:r>
          </w:p>
        </w:tc>
        <w:tc>
          <w:tcPr>
            <w:tcW w:type="dxa" w:w="4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Excludes go-to-market spend</w:t>
            </w:r>
          </w:p>
        </w:tc>
      </w:tr>
    </w:tbl>
    <w:p>
      <w:pPr>
        <w:pStyle w:val="Heading2"/>
      </w:pPr>
      <w:r>
        <w:t xml:space="preserve">5.2 Higher ambition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Independent target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Indicative cost</w:t>
            </w:r>
          </w:p>
        </w:tc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Who realistically plays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Beam parity</w:t>
            </w:r>
          </w:p>
        </w:tc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30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US$11–175M</w:t>
            </w:r>
          </w:p>
        </w:tc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Start-ups, sovereign programmes, enterprises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Open-frontier parity</w:t>
            </w:r>
          </w:p>
        </w:tc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45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US$300–500M</w:t>
            </w:r>
          </w:p>
        </w:tc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Well-funded labs (Chinese labs, Reflection’s next model)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Closed-frontier challenger</w:t>
            </w:r>
          </w:p>
        </w:tc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53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US$1B+ per generation</w:t>
            </w:r>
          </w:p>
        </w:tc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Anthropic, OpenAI, Google, xAI, Meta</w:t>
            </w:r>
          </w:p>
        </w:tc>
      </w:tr>
    </w:tbl>
    <w:p>
      <w:pPr>
        <w:pStyle w:val="Heading1"/>
        <w:pageBreakBefore/>
      </w:pPr>
      <w:r>
        <w:t xml:space="preserve">6. Roadmap and decision gates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Programme roadmap; Stage 1 covers phases 0–2 and the adapted-model release.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44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Month</w:t>
            </w:r>
          </w:p>
        </w:tc>
        <w:tc>
          <w:tcPr>
            <w:tcW w:type="dxa" w:w="4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 criteria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G0 Baseline</w:t>
            </w:r>
          </w:p>
        </w:tc>
        <w:tc>
          <w:tcPr>
            <w:tcW w:type="dxa" w:w="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and peers reproduced on our harness within ±2 points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Stage 1 plan</w:t>
            </w:r>
          </w:p>
        </w:tc>
      </w:tr>
      <w:tr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G1 Adapt</w:t>
            </w:r>
          </w:p>
        </w:tc>
        <w:tc>
          <w:tcPr>
            <w:tcW w:type="dxa" w:w="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Adapted model +5 points on domain evaluations; first paying pilot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/ pivot segment</w:t>
            </w:r>
          </w:p>
        </w:tc>
      </w:tr>
      <w:tr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G2 Scale</w:t>
            </w:r>
          </w:p>
        </w:tc>
        <w:tc>
          <w:tcPr>
            <w:tcW w:type="dxa" w:w="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Demand proven; pilot model meets scaling targets; ≥ US$150M secured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option B or C, or stay at A</w:t>
            </w:r>
          </w:p>
        </w:tc>
      </w:tr>
      <w:tr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G3 Pre-train</w:t>
            </w:r>
          </w:p>
        </w:tc>
        <w:tc>
          <w:tcPr>
            <w:tcW w:type="dxa" w:w="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Stable full training run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 / stop</w:t>
            </w:r>
          </w:p>
        </w:tc>
      </w:tr>
      <w:tr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G4 Release</w:t>
            </w:r>
          </w:p>
        </w:tc>
        <w:tc>
          <w:tcPr>
            <w:tcW w:type="dxa" w:w="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Level 1 KPIs met independently; safety report; ≥ 10 partners</w:t>
            </w:r>
          </w:p>
        </w:tc>
        <w:tc>
          <w:tcPr>
            <w:tcW w:type="dxa" w:w="2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Launch</w:t>
            </w:r>
          </w:p>
        </w:tc>
      </w:tr>
    </w:tbl>
    <w:p>
      <w:pPr>
        <w:pStyle w:val="Heading1"/>
        <w:pageBreakBefore/>
      </w:pPr>
      <w:r>
        <w:t xml:space="preserve">7. Principal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100"/>
        <w:gridCol w:w="4160"/>
      </w:tblGrid>
      <w:tr>
        <w:trPr>
          <w:tblHeader/>
        </w:trP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Frontier keeps moving away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Compete in segments, not on the general leaderboard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Chinese open models at near-zero prices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Sell provenance, sovereignty, support and domain quality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Our own claims fail to replicate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harness and third-party evaluation from day one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GPU cost / availability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Multi-provider reservations; 4-bit (NVFP4) training and serving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 infrastructure underestimated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environments and sandboxes from month 1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Talent and legal exposure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Equity and academic partnerships; data-provenance tracking; legal gates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 ownership change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Mirror Beam 1.0 weights now — the Apache 2.0 grant is irrevocable</w:t>
            </w:r>
          </w:p>
        </w:tc>
      </w:tr>
    </w:tbl>
    <w:p>
      <w:pPr>
        <w:pStyle w:val="Heading1"/>
        <w:pageBreakBefore/>
      </w:pPr>
      <w:r>
        <w:t xml:space="preserve">8. Decision requested and first 90 days</w:t>
      </w:r>
    </w:p>
    <w:p>
      <w:pPr>
        <w:pStyle w:val="Heading2"/>
      </w:pPr>
      <w:r>
        <w:t xml:space="preserve">8.1 Decisions requested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 Stage 1 (option A): </w:t>
      </w:r>
      <w:r>
        <w:t xml:space="preserve">≈ US$11M programme budget; first adapted model in 3–6 months.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Select the target segment: </w:t>
      </w:r>
      <w:r>
        <w:t xml:space="preserve">recommended primary — sovereign / regulated on-premises AI; secondary — one vertical or language market chosen with design partners.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Authorise partnerships: </w:t>
      </w:r>
      <w:r>
        <w:t xml:space="preserve">one GPU cloud for compute reservations and two to three design-partner customers.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Schedule Gate 2 review </w:t>
      </w:r>
      <w:r>
        <w:t xml:space="preserve">for month 9 to decide on options B or C.</w:t>
      </w:r>
    </w:p>
    <w:p>
      <w:pPr>
        <w:pStyle w:val="Heading2"/>
      </w:pPr>
      <w:r>
        <w:t xml:space="preserve">8.2 First 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300"/>
        <w:gridCol w:w="5860"/>
      </w:tblGrid>
      <w:tr>
        <w:trPr>
          <w:tblHeader/>
        </w:trP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Weeks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Workstream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Programme set-up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Mirror Beam 1.0 weights; GPU reservation; core hires (RL lead, data lead, infra lead)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1–4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Evaluation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harness; Beam, GLM, Kimi, DeepSeek re-run on all KPI benchmarks (Gate 0)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2–8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Segment selection; 2–3 design-partner agreements; domain evaluation sets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3–10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corpus acquisition and filtering; synthetic data pipeline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4–12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 environments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10,000 verifiable domain tasks running in sandboxes on Mirror CLI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8–12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experiments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Fine-tuned and RL-trained Beam checkpoint; first domain results vs. base Beam</w:t>
            </w:r>
          </w:p>
        </w:tc>
      </w:tr>
      <w:tr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</w:t>
            </w:r>
          </w:p>
        </w:tc>
        <w:tc>
          <w:tcPr>
            <w:tcW w:type="dxa" w:w="5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90-day report to the committee: results, spend, pipeline</w:t>
            </w:r>
          </w:p>
        </w:tc>
      </w:tr>
    </w:tbl>
    <w:p>
      <w:pPr>
        <w:pStyle w:val="Heading1"/>
        <w:pageBreakBefore/>
      </w:pPr>
      <w:r>
        <w:t xml:space="preserve">9. Presenter guide to the executive deck</w:t>
      </w:r>
    </w:p>
    <w:p>
      <w:pPr>
        <w:spacing w:after="120"/>
      </w:pPr>
      <w:r>
        <w:t xml:space="preserve">Suggested timing: 25 minutes presentation + 20 minutes discussion. Slides 2, 4–5, 8, 13 and 16 carry the argument; slides 4–5 are click-by-click animations — click to advance each step; the others can be shortened if time is tight. Speaker notes with the same points are embedded in the PowerPoint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Slide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message / talking point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a Beam-Class LLM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 the decision: whether and how to build a new open model against the leading vendors.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answer up front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numbers: 30 vs 58 (gap), US$11–175M (cost range), 11% (open share). Verdict: buildable, but win on control and cost, not rank.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1.0: what Reflection AI shipped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501B / 23.4B active, 256 experts, 1M context, Apache 2.0. Released 16 Oct with 40+ partners.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 built for cheap tokens (animated, 4 clicks)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through how one token is processed: router → 256 experts → only 8 run → ≈21× less compute than a dense model of the same size.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each token costs less (animated, 5 clicks)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cost lever per click: sparse experts (21×), short memory in most layers (window slides; memory ≈17%), 4-bit weights (1.0 → 0.28 TB), drafter and ~40% fewer output tokens; then the capability trade-off.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Training: post-training is the big bill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 used ~2–3× the GPU-hours of pre-training. Environments, not just GPUs, are the long pole.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its own numbers, Beam trails open peers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 table: level with GLM-5.2, behind Kimi K3 and Qwen 3.8 Max.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tests: a 28-point gap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key slide. Independent index: Beam 30, open leaders 44–46, closed frontier 53–58.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vendor landscape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Closed vendors compete on capability; Chinese labs on price; we need a third reason to exist.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Enterprise spend favours closed models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40%, OpenAI 27%; open share down to 11%. Growth is real but goes to the top models.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a new open model can win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segments; ask the room which one or two we can credibly own.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levels of ambition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Level 1 now; Level 2 is a funded option; Level 3 is a hyperscaler bet.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routes to a Beam-class model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≈ US$11M, B ≈ US$56M, C ≈ US$175M. Recommend A first.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Staged roadmap with decision gates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2 at month 9 is the real investment decision.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 risks and how we manage them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Biggest risks are strategic (moving frontier, price war) and RL infrastructure.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Recommendation and next steps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Ask for approval of Stage 1 and the segment choice.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Appendix: Beam architecture detail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technical diagram, for questions.</w:t>
            </w:r>
          </w:p>
        </w:tc>
      </w:tr>
      <w:tr>
        <w:tc>
          <w:tcPr>
            <w:tcW w:type="dxa" w:w="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Sources and notes</w:t>
            </w:r>
          </w:p>
        </w:tc>
        <w:tc>
          <w:tcPr>
            <w:tcW w:type="dxa" w:w="55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Point to the 37-page baseline for evidence.</w:t>
            </w:r>
          </w:p>
        </w:tc>
      </w:tr>
    </w:tbl>
    <w:p>
      <w:pPr>
        <w:pStyle w:val="Heading1"/>
        <w:pageBreakBefore/>
      </w:pPr>
      <w:r>
        <w:t xml:space="preserve">Appendix. Key sources</w:t>
      </w:r>
    </w:p>
    <w:p>
      <w:pPr>
        <w:pStyle w:val="ListParagraph"/>
        <w:numPr>
          <w:ilvl w:val="0"/>
          <w:numId w:val="4"/>
        </w:numPr>
        <w:spacing w:after="60"/>
      </w:pPr>
      <w:hyperlink w:history="1" r:id="rIdqchkpnxlyfktfsvbac4yo">
        <w:r>
          <w:rPr>
            <w:rStyle w:val="Hyperlink"/>
          </w:rPr>
          <w:t xml:space="preserve">Reflection — Beam is now available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1ujeov3xlq17lals-6y_l">
        <w:r>
          <w:rPr>
            <w:rStyle w:val="Hyperlink"/>
          </w:rPr>
          <w:t xml:space="preserve">Hugging Face — Beam 1.0 model card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c_rkico5it7k_ux3r7lfe">
        <w:r>
          <w:rPr>
            <w:rStyle w:val="Hyperlink"/>
          </w:rPr>
          <w:t xml:space="preserve">Artificial Analysis — Reflection Beam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bobxssw87whqr8royyz99">
        <w:r>
          <w:rPr>
            <w:rStyle w:val="Hyperlink"/>
          </w:rPr>
          <w:t xml:space="preserve">Artificial Analysis — Intelligence Index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stzj4kbgvn4gsodt9tjhj">
        <w:r>
          <w:rPr>
            <w:rStyle w:val="Hyperlink"/>
          </w:rPr>
          <w:t xml:space="preserve">OrcaRouter — Beam 1.0 scored 30 independently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zfaf50qxfy3ph4ewfnkye">
        <w:r>
          <w:rPr>
            <w:rStyle w:val="Hyperlink"/>
          </w:rPr>
          <w:t xml:space="preserve">AWS — Introducing Reflection Beam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6v4ly-nv4mi34yjnybb04">
        <w:r>
          <w:rPr>
            <w:rStyle w:val="Hyperlink"/>
          </w:rPr>
          <w:t xml:space="preserve">llm-stats — Claude Opus 5.5 launch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yvvwovod1zkuribqjnfxb">
        <w:r>
          <w:rPr>
            <w:rStyle w:val="Hyperlink"/>
          </w:rPr>
          <w:t xml:space="preserve">The Decoder — Grok 4.7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wxz4b56mskvgrpjeelv2m">
        <w:r>
          <w:rPr>
            <w:rStyle w:val="Hyperlink"/>
          </w:rPr>
          <w:t xml:space="preserve">Hostinger — LLM statistics 2026 (Menlo Ventures data)</w:t>
        </w:r>
      </w:hyperlink>
    </w:p>
    <w:p>
      <w:pPr>
        <w:pStyle w:val="ListParagraph"/>
        <w:numPr>
          <w:ilvl w:val="0"/>
          <w:numId w:val="4"/>
        </w:numPr>
        <w:spacing w:after="60"/>
      </w:pPr>
      <w:hyperlink w:history="1" r:id="rIdfwakxb5orwbu9pmkv0zbo">
        <w:r>
          <w:rPr>
            <w:rStyle w:val="Hyperlink"/>
          </w:rPr>
          <w:t xml:space="preserve">BenchLM — LLM API pricing (Oct 2026)</w:t>
        </w:r>
      </w:hyperlink>
    </w:p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Full source list (42 references) and all technical detail: Beam_Research_Baseline.docx.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Building a Beam-Class LLM — Executive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00" w:hanging="6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8D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B6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chkpnxlyfktfsvbac4yo" Type="http://schemas.openxmlformats.org/officeDocument/2006/relationships/hyperlink" Target="https://reflection.ai/blog/beam-is-available" TargetMode="External"/><Relationship Id="rId1ujeov3xlq17lals-6y_l" Type="http://schemas.openxmlformats.org/officeDocument/2006/relationships/hyperlink" Target="https://huggingface.co/reflection/Beam-1.0-501B-A23B" TargetMode="External"/><Relationship Id="rIdc_rkico5it7k_ux3r7lfe" Type="http://schemas.openxmlformats.org/officeDocument/2006/relationships/hyperlink" Target="https://artificialanalysis.ai/articles/reflection-beam" TargetMode="External"/><Relationship Id="rIdbobxssw87whqr8royyz99" Type="http://schemas.openxmlformats.org/officeDocument/2006/relationships/hyperlink" Target="https://artificialanalysis.ai/evaluations/artificial-analysis-intelligence-index" TargetMode="External"/><Relationship Id="rIdstzj4kbgvn4gsodt9tjhj" Type="http://schemas.openxmlformats.org/officeDocument/2006/relationships/hyperlink" Target="https://www.orcarouter.ai/blog/reflection-beam-1-0-open-weights-available" TargetMode="External"/><Relationship Id="rIdzfaf50qxfy3ph4ewfnkye" Type="http://schemas.openxmlformats.org/officeDocument/2006/relationships/hyperlink" Target="https://aws.amazon.com/blogs/machine-learning/introducing-reflection-beam-an-open-weight-model-for-agentic-coding-on-aws/" TargetMode="External"/><Relationship Id="rId6v4ly-nv4mi34yjnybb04" Type="http://schemas.openxmlformats.org/officeDocument/2006/relationships/hyperlink" Target="https://llm-stats.com/blog/research/claude-opus-5-5-launch" TargetMode="External"/><Relationship Id="rIdyvvwovod1zkuribqjnfxb" Type="http://schemas.openxmlformats.org/officeDocument/2006/relationships/hyperlink" Target="https://the-decoder.com/xai-launches-grok-4-7-at-bargain-prices-but-benchmarks-reveal-a-wide-gap-to-claude-and-gpt-6/" TargetMode="External"/><Relationship Id="rIdwxz4b56mskvgrpjeelv2m" Type="http://schemas.openxmlformats.org/officeDocument/2006/relationships/hyperlink" Target="https://www.hostinger.com/tutorials/llm-statistics/" TargetMode="External"/><Relationship Id="rIdfwakxb5orwbu9pmkv0zbo" Type="http://schemas.openxmlformats.org/officeDocument/2006/relationships/hyperlink" Target="https://benchlm.ai/llm-pricing" TargetMode="External"/><Relationship Id="rId9" Type="http://schemas.openxmlformats.org/officeDocument/2006/relationships/image" Target="media/ebd8a503c365f9bfd9f424854ac47f61cd49396f.png"/><Relationship Id="rId10" Type="http://schemas.openxmlformats.org/officeDocument/2006/relationships/image" Target="media/65e0d6dd2ab3c5de8fb872f9fd4f40a504041782.png"/><Relationship Id="rId11" Type="http://schemas.openxmlformats.org/officeDocument/2006/relationships/image" Target="media/3c72127c5f5d20de3106362a930aa89a7bce4f78.png"/><Relationship Id="rId12" Type="http://schemas.openxmlformats.org/officeDocument/2006/relationships/image" Target="media/30c1e54c4f3949316eb0312378364d82f711cfa8.png"/><Relationship Id="rId13" Type="http://schemas.openxmlformats.org/officeDocument/2006/relationships/image" Target="media/a3cad15467d28158b49d454d8ce976f9cde8609d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a Beam-Class LLM — Executive Briefing</dc:title>
  <dc:creator>Beam research programme</dc:creator>
  <cp:lastModifiedBy>Un-named</cp:lastModifiedBy>
  <cp:revision>1</cp:revision>
  <dcterms:created xsi:type="dcterms:W3CDTF">2026-10-19T13:53:59.055Z</dcterms:created>
  <dcterms:modified xsi:type="dcterms:W3CDTF">2026-10-19T13:53:59.055Z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