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 מאיתור קרקע ותכנון, דרך מימון, ביצוע ופיקוח, ועד אכלוס וניהול נכסים. בשנים האחרונות, כשהשוק השתנה ועלויות המימון עלו, שאלנו את עצמנו שאלה פשוטה: אם היינו משקיעים את כספנו היום - איפה ואיך היינו עושים זאת?</w:t>
      </w:r>
    </w:p>
    <w:p>
      <w:pPr>
        <w:bidi w:val="1"/>
      </w:pPr>
      <w:r>
        <w:rPr>
          <w:b w:val="0"/>
          <w:sz w:val="24"/>
          <w:rtl w:val="1"/>
        </w:rPr>
        <w:t>חיפשנו מודל שיעמוד גם בבדיקה עמוקה, ולא רק כזה שנראה טוב על הנייר. מה ששכנע אותנו לא היה יתרון אחד, אלא השילוב כולו: בית חדש ובנוי מקבלן ציבורי גדול, שנדרש להמשיך למכור גם בסביבת ריבית גבוהה; בעלות עצמאית ומלאה של המשקיע; אפשרות למימון כבר ברכישה; וניהול מקומי שמאפשר להחזיק את הנכס בצורה מסודרת גם מרחוק. כל רכיב לבדו אינו מספיק - ביחד הם המודל.</w:t>
      </w:r>
    </w:p>
    <w:p>
      <w:pPr>
        <w:bidi w:val="1"/>
      </w:pPr>
      <w:r>
        <w:rPr>
          <w:b w:val="0"/>
          <w:sz w:val="24"/>
          <w:rtl w:val="1"/>
        </w:rPr>
        <w:t>בפועל, זה מה שהמשקיע מקבל:</w:t>
      </w:r>
    </w:p>
    <w:p>
      <w:pPr>
        <w:bidi w:val="1"/>
      </w:pPr>
      <w:r>
        <w:rPr>
          <w:b w:val="0"/>
          <w:sz w:val="24"/>
          <w:rtl w:val="1"/>
        </w:rPr>
        <w:t>• בית חד-משפחתי חדש, בנוי ומוכן, מקבלן ציבורי גדול. בלי קרקע, תכנון או תהליך בנייה - נכס שכבר קיים, ניתן לבדיקה, ויכול לעבור להשכרה בפרק זמן קצר יחסית.</w:t>
      </w:r>
    </w:p>
    <w:p>
      <w:pPr>
        <w:bidi w:val="1"/>
      </w:pPr>
      <w:r>
        <w:rPr>
          <w:b w:val="0"/>
          <w:sz w:val="24"/>
          <w:rtl w:val="1"/>
        </w:rPr>
        <w:t>• נכס עצמאי שאינו תלוי במשקיעים אחרים: לכל משקיע מוקמת LLC ייעודית בבעלותו, עם חשבון בנק נפרד, והבית נרשם על שם החברה שלו. אין קופה משותפת ואין תלות בהחלטות של קבוצה.</w:t>
      </w:r>
    </w:p>
    <w:p>
      <w:pPr>
        <w:bidi w:val="1"/>
      </w:pPr>
      <w:r>
        <w:rPr>
          <w:b w:val="0"/>
          <w:sz w:val="24"/>
          <w:rtl w:val="1"/>
        </w:rPr>
        <w:t>• אפשרות לבחון מימון כבר במועד הרכישה: במקרים מתאימים ובכפוף לאישור המלווה, מימון DSCR בשיעור של עד 70% ממחיר הרכישה - כך שהמשקיע אינו נדרש בהכרח לממן את מלוא עלות הבית מהון עצמי.</w:t>
      </w:r>
    </w:p>
    <w:p>
      <w:pPr>
        <w:bidi w:val="1"/>
      </w:pPr>
      <w:r>
        <w:rPr>
          <w:b w:val="0"/>
          <w:sz w:val="24"/>
          <w:rtl w:val="1"/>
        </w:rPr>
        <w:t>• חברת ניהול ותיווך מקומית שמטפלת באיתור ובסינון שוכרים, בהסכמי השכירות, בגבייה, בתחזוקה ובתפעול השוטף - עם מענה גם בעברית, כך שאפשר להבין את מצב הנכס, לשאול שאלות ולקבל עדכונים בלי להסתמך רק על התכתבויות באנגלית.</w:t>
      </w:r>
    </w:p>
    <w:p>
      <w:pPr>
        <w:bidi w:val="1"/>
      </w:pPr>
      <w:r>
        <w:rPr>
          <w:b w:val="0"/>
          <w:sz w:val="24"/>
          <w:rtl w:val="1"/>
        </w:rPr>
        <w:t>עבור משקיע ישראלי, המענה בעברית אינו רק עניין של נוחות. כשמחזיקים נכס מעבר לים, חשוב לדעת שיש בשטח גורם שמטפל בנכס בפועל, ובמקביל כתובת ברורה שאפשר לתקשר איתה בצורה פשוטה וישירה.</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אפשר לבחון את תנאי העסקה מנקודת פתיחה טובה יותר.</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אפשרות לאכלס את הבית בשוכר בפרק זמן קצר יחסית לאחר הסגירה, במקום להמתין לתכנון ולבנייה.</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