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המודל בקצרה - 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לאחר שבחנו לעומק כמה מסלולי השקעה, בחרנו להתמקד ברכישת בתים חדשים מקבלנים ציבוריים גדולים בטקסס: נכס אמיתי, בעלות ברורה, תהליך מסודר ואפשרות להחזיק לאורך זמן.</w:t>
      </w:r>
    </w:p>
    <w:p>
      <w:pPr>
        <w:bidi w:val="1"/>
      </w:pPr>
      <w:r>
        <w:rPr>
          <w:b w:val="0"/>
          <w:sz w:val="24"/>
          <w:rtl w:val="1"/>
        </w:rPr>
        <w:t>• בית חד-משפחתי חדש מקבלן ציבורי גדול, בשכונות חדשות ומתוכננות באזור יוסטון רבתי.</w:t>
      </w:r>
    </w:p>
    <w:p>
      <w:pPr>
        <w:bidi w:val="1"/>
      </w:pPr>
      <w:r>
        <w:rPr>
          <w:b w:val="0"/>
          <w:sz w:val="24"/>
          <w:rtl w:val="1"/>
        </w:rPr>
        <w:t>• בעלות עצמאית: LLC ייעודית בבעלות המשקיע, חשבון בנק של החברה והנכס רשום על שמה. לא קרן ולא קופה משותפת.</w:t>
      </w:r>
    </w:p>
    <w:p>
      <w:pPr>
        <w:bidi w:val="1"/>
      </w:pPr>
      <w:r>
        <w:rPr>
          <w:b w:val="0"/>
          <w:sz w:val="24"/>
          <w:rtl w:val="1"/>
        </w:rPr>
        <w:t>• נקודת הכניסה היא לאחר שהבית כבר קיים - ניתן לבצע Inspection, לבחון מימון ולהעביר אותו להשכרה בפרק זמן קצר יחסית.</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אפשר לבחון את תנאי העסקה מנקודת פתיחה טובה יותר.</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אפשרות לבחון מימון מסוג DSCR במקרים מתאימים ובכפוף לאישור מלווה - הלוואה שמבוססת בעיקר על הכנסות הנכס.</w:t>
      </w:r>
    </w:p>
    <w:p>
      <w:pPr>
        <w:bidi w:val="1"/>
      </w:pPr>
      <w:r>
        <w:rPr>
          <w:b w:val="0"/>
          <w:sz w:val="24"/>
          <w:rtl w:val="1"/>
        </w:rPr>
        <w:t>• אפשרות לאכלס את הבית בשוכר בפרק זמן קצר יחסית לאחר הסגירה, במקום להמתין לתכנון ולבנייה.</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