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C7293"/>
          <w:sz w:val="21"/>
        </w:rPr>
        <w:t>VELLORE INSTITUTE OF TECHNOLOGY (VIT), VELLORE — SCHOOL OF COMPUTER SCIENCE AND ENGINEERING (SCOPE)</w:t>
      </w:r>
    </w:p>
    <w:p>
      <w:pPr>
        <w:spacing w:before="40" w:after="80"/>
      </w:pPr>
      <w:r>
        <w:rPr>
          <w:rFonts w:ascii="Calibri" w:hAnsi="Calibri"/>
          <w:b/>
          <w:color w:val="21295C"/>
          <w:sz w:val="40"/>
        </w:rPr>
        <w:t>Final Review 3 Presentation &amp; Viva Voce Preparation Guide</w:t>
      </w:r>
    </w:p>
    <w:p>
      <w:pPr>
        <w:spacing w:before="0" w:after="160"/>
      </w:pPr>
      <w:r>
        <w:rPr>
          <w:rFonts w:ascii="Calibri" w:hAnsi="Calibri"/>
          <w:b/>
          <w:color w:val="065A82"/>
          <w:sz w:val="24"/>
        </w:rPr>
        <w:t>Project: Compression-Aware Vector Database Indexing for Memory-Efficient and Low-Latency Retrieval-Augmented Generation (RAG)</w:t>
      </w:r>
    </w:p>
    <w:tbl>
      <w:tblPr>
        <w:tblW w:type="auto" w:w="0"/>
        <w:jc w:val="center"/>
        <w:tblLook w:firstColumn="1" w:firstRow="1" w:lastColumn="0" w:lastRow="0" w:noHBand="0" w:noVBand="1" w:val="04A0"/>
        <w:tblBorders>
          <w:top w:val="single" w:sz="6" w:space="0" w:color="CBD5E1"/>
          <w:bottom w:val="single" w:sz="8" w:space="0" w:color="CBD5E1"/>
          <w:left w:val="single" w:sz="4" w:space="0" w:color="CBD5E1"/>
          <w:right w:val="single" w:sz="4" w:space="0" w:color="CBD5E1"/>
          <w:insideH w:val="single" w:sz="4" w:space="0" w:color="CBD5E1"/>
          <w:insideV w:val="single" w:sz="4" w:space="0" w:color="CBD5E1"/>
        </w:tblBorders>
      </w:tblPr>
      <w:tblGrid>
        <w:gridCol w:w="4853"/>
        <w:gridCol w:w="4853"/>
      </w:tblGrid>
      <w:tr>
        <w:trPr>
          <w:tblHeader/>
          <w:cantSplit/>
        </w:trPr>
        <w:tc>
          <w:tcPr>
            <w:tcW w:type="dxa" w:w="3024"/>
            <w:shd w:fill="21295C"/>
            <w:tcMar>
              <w:top w:w="85" w:type="dxa"/>
              <w:bottom w:w="85" w:type="dxa"/>
              <w:left w:w="115" w:type="dxa"/>
              <w:right w:w="115" w:type="dxa"/>
            </w:tcMar>
            <w:vAlign w:val="center"/>
          </w:tcPr>
          <w:p>
            <w:pPr>
              <w:spacing w:before="0" w:after="0"/>
            </w:pPr>
            <w:r>
              <w:rPr>
                <w:rFonts w:ascii="Calibri" w:hAnsi="Calibri"/>
                <w:b/>
                <w:color w:val="FFFFFF"/>
                <w:sz w:val="21"/>
              </w:rPr>
              <w:t>Project Metadata Field</w:t>
            </w:r>
          </w:p>
        </w:tc>
        <w:tc>
          <w:tcPr>
            <w:tcW w:type="dxa" w:w="6624"/>
            <w:shd w:fill="21295C"/>
            <w:tcMar>
              <w:top w:w="85" w:type="dxa"/>
              <w:bottom w:w="85" w:type="dxa"/>
              <w:left w:w="115" w:type="dxa"/>
              <w:right w:w="115" w:type="dxa"/>
            </w:tcMar>
            <w:vAlign w:val="center"/>
          </w:tcPr>
          <w:p>
            <w:pPr>
              <w:spacing w:before="0" w:after="0"/>
            </w:pPr>
            <w:r>
              <w:rPr>
                <w:rFonts w:ascii="Calibri" w:hAnsi="Calibri"/>
                <w:b/>
                <w:color w:val="FFFFFF"/>
                <w:sz w:val="21"/>
              </w:rPr>
              <w:t>Verified Official Detail</w:t>
            </w:r>
          </w:p>
        </w:tc>
      </w:tr>
      <w:tr>
        <w:trPr>
          <w:cantSplit/>
        </w:trPr>
        <w:tc>
          <w:tcPr>
            <w:tcW w:type="dxa" w:w="3024"/>
            <w:shd w:fill="FFFFFF"/>
            <w:tcMar>
              <w:top w:w="75" w:type="dxa"/>
              <w:bottom w:w="75" w:type="dxa"/>
              <w:left w:w="115" w:type="dxa"/>
              <w:right w:w="115" w:type="dxa"/>
            </w:tcMar>
            <w:vAlign w:val="center"/>
          </w:tcPr>
          <w:p>
            <w:pPr>
              <w:spacing w:before="0" w:after="0" w:line="259" w:lineRule="auto"/>
            </w:pPr>
            <w:r>
              <w:rPr>
                <w:rFonts w:ascii="Calibri" w:hAnsi="Calibri"/>
                <w:b/>
                <w:color w:val="21295C"/>
                <w:sz w:val="20"/>
              </w:rPr>
              <w:t>Course Code &amp; Title</w:t>
            </w:r>
          </w:p>
        </w:tc>
        <w:tc>
          <w:tcPr>
            <w:tcW w:type="dxa" w:w="6624"/>
            <w:shd w:fill="FFFFFF"/>
            <w:tcMar>
              <w:top w:w="75" w:type="dxa"/>
              <w:bottom w:w="75" w:type="dxa"/>
              <w:left w:w="115" w:type="dxa"/>
              <w:right w:w="115" w:type="dxa"/>
            </w:tcMar>
            <w:vAlign w:val="center"/>
          </w:tcPr>
          <w:p>
            <w:pPr>
              <w:spacing w:before="0" w:after="0" w:line="259" w:lineRule="auto"/>
            </w:pPr>
            <w:r>
              <w:rPr>
                <w:rFonts w:ascii="Calibri" w:hAnsi="Calibri"/>
                <w:b w:val="0"/>
                <w:color w:val="1A2433"/>
                <w:sz w:val="20"/>
              </w:rPr>
              <w:t>BCSE302P — Database Systems Lab (Fall Semester 2026–27 | Slot: L37+L38)</w:t>
            </w:r>
          </w:p>
        </w:tc>
      </w:tr>
      <w:tr>
        <w:trPr>
          <w:cantSplit/>
        </w:trPr>
        <w:tc>
          <w:tcPr>
            <w:tcW w:type="dxa" w:w="3024"/>
            <w:shd w:fill="F4F7F9"/>
            <w:tcMar>
              <w:top w:w="75" w:type="dxa"/>
              <w:bottom w:w="75" w:type="dxa"/>
              <w:left w:w="115" w:type="dxa"/>
              <w:right w:w="115" w:type="dxa"/>
            </w:tcMar>
            <w:vAlign w:val="center"/>
          </w:tcPr>
          <w:p>
            <w:pPr>
              <w:spacing w:before="0" w:after="0" w:line="259" w:lineRule="auto"/>
            </w:pPr>
            <w:r>
              <w:rPr>
                <w:rFonts w:ascii="Calibri" w:hAnsi="Calibri"/>
                <w:b/>
                <w:color w:val="21295C"/>
                <w:sz w:val="20"/>
              </w:rPr>
              <w:t>Student Team Members</w:t>
            </w:r>
          </w:p>
        </w:tc>
        <w:tc>
          <w:tcPr>
            <w:tcW w:type="dxa" w:w="6624"/>
            <w:shd w:fill="F4F7F9"/>
            <w:tcMar>
              <w:top w:w="75" w:type="dxa"/>
              <w:bottom w:w="75" w:type="dxa"/>
              <w:left w:w="115" w:type="dxa"/>
              <w:right w:w="115" w:type="dxa"/>
            </w:tcMar>
            <w:vAlign w:val="center"/>
          </w:tcPr>
          <w:p>
            <w:pPr>
              <w:spacing w:before="0" w:after="0" w:line="259" w:lineRule="auto"/>
            </w:pPr>
            <w:r>
              <w:rPr>
                <w:rFonts w:ascii="Calibri" w:hAnsi="Calibri"/>
                <w:b w:val="0"/>
                <w:color w:val="1A2433"/>
                <w:sz w:val="20"/>
              </w:rPr>
              <w:t>Yash Pradhan (24BCE0702)  &amp;  Anjini Pandey (24BCE0714)</w:t>
            </w:r>
          </w:p>
        </w:tc>
      </w:tr>
      <w:tr>
        <w:trPr>
          <w:cantSplit/>
        </w:trPr>
        <w:tc>
          <w:tcPr>
            <w:tcW w:type="dxa" w:w="3024"/>
            <w:shd w:fill="FFFFFF"/>
            <w:tcMar>
              <w:top w:w="75" w:type="dxa"/>
              <w:bottom w:w="75" w:type="dxa"/>
              <w:left w:w="115" w:type="dxa"/>
              <w:right w:w="115" w:type="dxa"/>
            </w:tcMar>
            <w:vAlign w:val="center"/>
          </w:tcPr>
          <w:p>
            <w:pPr>
              <w:spacing w:before="0" w:after="0" w:line="259" w:lineRule="auto"/>
            </w:pPr>
            <w:r>
              <w:rPr>
                <w:rFonts w:ascii="Calibri" w:hAnsi="Calibri"/>
                <w:b/>
                <w:color w:val="21295C"/>
                <w:sz w:val="20"/>
              </w:rPr>
              <w:t>Faculty Supervisor</w:t>
            </w:r>
          </w:p>
        </w:tc>
        <w:tc>
          <w:tcPr>
            <w:tcW w:type="dxa" w:w="6624"/>
            <w:shd w:fill="FFFFFF"/>
            <w:tcMar>
              <w:top w:w="75" w:type="dxa"/>
              <w:bottom w:w="75" w:type="dxa"/>
              <w:left w:w="115" w:type="dxa"/>
              <w:right w:w="115" w:type="dxa"/>
            </w:tcMar>
            <w:vAlign w:val="center"/>
          </w:tcPr>
          <w:p>
            <w:pPr>
              <w:spacing w:before="0" w:after="0" w:line="259" w:lineRule="auto"/>
            </w:pPr>
            <w:r>
              <w:rPr>
                <w:rFonts w:ascii="Calibri" w:hAnsi="Calibri"/>
                <w:b w:val="0"/>
                <w:color w:val="1A2433"/>
                <w:sz w:val="20"/>
              </w:rPr>
              <w:t>Dr. D. Anuradha, School of Computer Science and Engineering (SCOPE), VIT Vellore</w:t>
            </w:r>
          </w:p>
        </w:tc>
      </w:tr>
      <w:tr>
        <w:trPr>
          <w:cantSplit/>
        </w:trPr>
        <w:tc>
          <w:tcPr>
            <w:tcW w:type="dxa" w:w="3024"/>
            <w:shd w:fill="F4F7F9"/>
            <w:tcMar>
              <w:top w:w="75" w:type="dxa"/>
              <w:bottom w:w="75" w:type="dxa"/>
              <w:left w:w="115" w:type="dxa"/>
              <w:right w:w="115" w:type="dxa"/>
            </w:tcMar>
            <w:vAlign w:val="center"/>
          </w:tcPr>
          <w:p>
            <w:pPr>
              <w:spacing w:before="0" w:after="0" w:line="259" w:lineRule="auto"/>
            </w:pPr>
            <w:r>
              <w:rPr>
                <w:rFonts w:ascii="Calibri" w:hAnsi="Calibri"/>
                <w:b/>
                <w:color w:val="21295C"/>
                <w:sz w:val="20"/>
              </w:rPr>
              <w:t>Evaluated Stack</w:t>
            </w:r>
          </w:p>
        </w:tc>
        <w:tc>
          <w:tcPr>
            <w:tcW w:type="dxa" w:w="6624"/>
            <w:shd w:fill="F4F7F9"/>
            <w:tcMar>
              <w:top w:w="75" w:type="dxa"/>
              <w:bottom w:w="75" w:type="dxa"/>
              <w:left w:w="115" w:type="dxa"/>
              <w:right w:w="115" w:type="dxa"/>
            </w:tcMar>
            <w:vAlign w:val="center"/>
          </w:tcPr>
          <w:p>
            <w:pPr>
              <w:spacing w:before="0" w:after="0" w:line="259" w:lineRule="auto"/>
            </w:pPr>
            <w:r>
              <w:rPr>
                <w:rFonts w:ascii="Calibri" w:hAnsi="Calibri"/>
                <w:b w:val="0"/>
                <w:color w:val="1A2433"/>
                <w:sz w:val="20"/>
              </w:rPr>
              <w:t>PostgreSQL 18.4, pgvector 0.8.4, Python 3.13.x, local Ollama (nomic-embed-text, 768-D)</w:t>
            </w:r>
          </w:p>
        </w:tc>
      </w:tr>
      <w:tr>
        <w:trPr>
          <w:cantSplit/>
        </w:trPr>
        <w:tc>
          <w:tcPr>
            <w:tcW w:type="dxa" w:w="3024"/>
            <w:shd w:fill="FFFFFF"/>
            <w:tcMar>
              <w:top w:w="75" w:type="dxa"/>
              <w:bottom w:w="75" w:type="dxa"/>
              <w:left w:w="115" w:type="dxa"/>
              <w:right w:w="115" w:type="dxa"/>
            </w:tcMar>
            <w:vAlign w:val="center"/>
          </w:tcPr>
          <w:p>
            <w:pPr>
              <w:spacing w:before="0" w:after="0" w:line="259" w:lineRule="auto"/>
            </w:pPr>
            <w:r>
              <w:rPr>
                <w:rFonts w:ascii="Calibri" w:hAnsi="Calibri"/>
                <w:b/>
                <w:color w:val="21295C"/>
                <w:sz w:val="20"/>
              </w:rPr>
              <w:t>Companion Deck</w:t>
            </w:r>
          </w:p>
        </w:tc>
        <w:tc>
          <w:tcPr>
            <w:tcW w:type="dxa" w:w="6624"/>
            <w:shd w:fill="FFFFFF"/>
            <w:tcMar>
              <w:top w:w="75" w:type="dxa"/>
              <w:bottom w:w="75" w:type="dxa"/>
              <w:left w:w="115" w:type="dxa"/>
              <w:right w:w="115" w:type="dxa"/>
            </w:tcMar>
            <w:vAlign w:val="center"/>
          </w:tcPr>
          <w:p>
            <w:pPr>
              <w:spacing w:before="0" w:after="0" w:line="259" w:lineRule="auto"/>
            </w:pPr>
            <w:r>
              <w:rPr>
                <w:rFonts w:ascii="Calibri" w:hAnsi="Calibri"/>
                <w:b w:val="0"/>
                <w:color w:val="1A2433"/>
                <w:sz w:val="20"/>
              </w:rPr>
              <w:t>Compression_Aware_Vector_Database_Indexing_Review_3_Final_Audited_v4.pptx (16 Widescreen Slides)</w:t>
            </w:r>
          </w:p>
        </w:tc>
      </w:tr>
      <w:tr>
        <w:trPr>
          <w:cantSplit/>
        </w:trPr>
        <w:tc>
          <w:tcPr>
            <w:tcW w:type="dxa" w:w="3024"/>
            <w:shd w:fill="F4F7F9"/>
            <w:tcMar>
              <w:top w:w="75" w:type="dxa"/>
              <w:bottom w:w="75" w:type="dxa"/>
              <w:left w:w="115" w:type="dxa"/>
              <w:right w:w="115" w:type="dxa"/>
            </w:tcMar>
            <w:vAlign w:val="center"/>
          </w:tcPr>
          <w:p>
            <w:pPr>
              <w:spacing w:before="0" w:after="0" w:line="259" w:lineRule="auto"/>
            </w:pPr>
            <w:r>
              <w:rPr>
                <w:rFonts w:ascii="Calibri" w:hAnsi="Calibri"/>
                <w:b/>
                <w:color w:val="21295C"/>
                <w:sz w:val="20"/>
              </w:rPr>
              <w:t>Source of Truth</w:t>
            </w:r>
          </w:p>
        </w:tc>
        <w:tc>
          <w:tcPr>
            <w:tcW w:type="dxa" w:w="6624"/>
            <w:shd w:fill="F4F7F9"/>
            <w:tcMar>
              <w:top w:w="75" w:type="dxa"/>
              <w:bottom w:w="75" w:type="dxa"/>
              <w:left w:w="115" w:type="dxa"/>
              <w:right w:w="115" w:type="dxa"/>
            </w:tcMar>
            <w:vAlign w:val="center"/>
          </w:tcPr>
          <w:p>
            <w:pPr>
              <w:spacing w:before="0" w:after="0" w:line="259" w:lineRule="auto"/>
            </w:pPr>
            <w:r>
              <w:rPr>
                <w:rFonts w:ascii="Calibri" w:hAnsi="Calibri"/>
                <w:b w:val="0"/>
                <w:color w:val="1A2433"/>
                <w:sz w:val="20"/>
              </w:rPr>
              <w:t>Final Consolidated Report + Verified Stage 1–4 CSVs (chart1_storage..chart4_latency.csv)</w:t>
            </w:r>
          </w:p>
        </w:tc>
      </w:tr>
    </w:tbl>
    <w:p>
      <w:pPr>
        <w:keepNext/>
        <w:spacing w:before="220" w:after="80"/>
        <w:pBdr>
          <w:bottom w:val="single" w:sz="12" w:space="4" w:color="065A82"/>
        </w:pBdr>
      </w:pPr>
      <w:r>
        <w:rPr>
          <w:rFonts w:ascii="Calibri" w:hAnsi="Calibri"/>
          <w:b/>
          <w:color w:val="21295C"/>
          <w:sz w:val="32"/>
        </w:rPr>
        <w:t>1. Presentation Overview &amp; Viva Delivery Strategy</w:t>
      </w:r>
    </w:p>
    <w:p>
      <w:pPr>
        <w:keepNext w:val="0"/>
        <w:spacing w:before="10" w:after="64" w:line="259" w:lineRule="auto"/>
      </w:pPr>
      <w:r>
        <w:rPr>
          <w:rFonts w:ascii="Calibri" w:hAnsi="Calibri"/>
          <w:b/>
          <w:color w:val="21295C"/>
          <w:sz w:val="22"/>
        </w:rPr>
        <w:t xml:space="preserve">Core Narrative Arc: </w:t>
      </w:r>
      <w:r>
        <w:rPr>
          <w:rFonts w:ascii="Calibri" w:hAnsi="Calibri"/>
          <w:color w:val="1A2433"/>
          <w:sz w:val="22"/>
        </w:rPr>
        <w:t>This 16-slide final presentation moves beyond the preliminary 180-chunk Review 2 baseline to present the completed 4-stage database engineering investigation across 1,001, 5,000, and 10,000 MS MARCO chunks. The central finding is that casting 768-dimensional embeddings from 32-bit floats (vector(768), 3,076 B empirically measured) to 16-bit floats (halfvec(768), 1,544 B) brings every tuple below PostgreSQL's ≈2 KiB TOAST threshold. That keeps vectors inline within 8 KiB heap pages, eliminates 100% of out-of-line TOAST data payloads (0 B), cuts inclusive table+index storage by 55.35%–55.37%, cuts HNSW index size by 49.90%–49.98%, reduces exhaustive exact-search mean latency by 6.22x–7.24x (consistent with 93.35% fewer Q0 buffer hits), keeps forced-HNSW latency broadly similar (~3.37–4.13 ms mean), and preserves 0.9600 Recall@10.</w:t>
      </w:r>
    </w:p>
    <w:p>
      <w:pPr>
        <w:keepNext w:val="0"/>
        <w:spacing w:before="10" w:after="64" w:line="259" w:lineRule="auto"/>
      </w:pPr>
      <w:r>
        <w:rPr>
          <w:rFonts w:ascii="Calibri" w:hAnsi="Calibri"/>
          <w:b/>
          <w:color w:val="006D5B"/>
          <w:sz w:val="22"/>
        </w:rPr>
        <w:t xml:space="preserve">Recommended Two-Speaker Split (12–15 Minute Slot): </w:t>
      </w:r>
      <w:r>
        <w:rPr>
          <w:rFonts w:ascii="Calibri" w:hAnsi="Calibri"/>
          <w:color w:val="1A2433"/>
          <w:sz w:val="22"/>
        </w:rPr>
        <w:t>Speaker 1 (Yash Pradhan — 24BCE0702): Slides 1–8 (Title, Problem/TOAST Motivation, Related Work &amp; Research Gap, Objectives &amp; Scope, Implemented Architecture, Experimental Setup, Storage &amp; TOAST Results, HNSW Index Size &amp; Build Time). Speaker 2 (Anjini Pandey — 24BCE0714): Slides 9–16 (Exact-Search Latency, Forced-HNSW Latency, Recall@K, Pairwise Agreement &amp; Q0 Diagnostics, Query Planner Behaviour, Limitations &amp; Threats to Validity, Conclusion &amp; Future Work, References).</w:t>
      </w:r>
    </w:p>
    <w:p>
      <w:pPr>
        <w:keepNext w:val="0"/>
        <w:spacing w:before="10" w:after="64" w:line="259" w:lineRule="auto"/>
      </w:pPr>
      <w:r>
        <w:rPr>
          <w:rFonts w:ascii="Calibri" w:hAnsi="Calibri"/>
          <w:b/>
          <w:color w:val="9A5B00"/>
          <w:sz w:val="22"/>
        </w:rPr>
        <w:t xml:space="preserve">Six Non-Negotiable Claim-Discipline Rules for the Viva: </w:t>
      </w:r>
      <w:r>
        <w:rPr>
          <w:rFonts w:ascii="Calibri" w:hAnsi="Calibri"/>
          <w:color w:val="1A2433"/>
          <w:sz w:val="22"/>
        </w:rPr>
        <w:t>(1) Never claim that FP16 universally accelerates HNSW queries—at 10,000 chunks, FP16 forced HNSW was slightly slower than FP32 (3.856 ms vs. 3.674 ms mean; +4.95%). (2) Never claim that the Q0 shared-buffer hit reduction (93.35% fewer) alone proves per-trial causality for the 100-trial exact-search latency speedup; state that it is a single-query diagnostic observation consistent with the speedup. (3) Never claim that Recall@K or Agreement@K measures human-judged semantic relevance or LLM answer quality. (4) Clearly state that Product Quantization (PQ), Scalar Quantization (SQ), and anisotropic quantization are literature context, whereas our implemented compression is deterministic SQL casting to halfvec(768). (5) Never state an exact Ollama runtime version as verified because repo sources disagree (0.4.7 vs. 0.32.13). (6) If asked about patent/publication status, state strictly that an Invention Disclosure Form (IDF) was submitted and do not claim a filed or granted patent.</w:t>
      </w:r>
    </w:p>
    <w:p>
      <w:pPr>
        <w:keepNext/>
        <w:spacing w:before="220" w:after="80"/>
        <w:pBdr>
          <w:bottom w:val="single" w:sz="12" w:space="4" w:color="065A82"/>
        </w:pBdr>
      </w:pPr>
      <w:r>
        <w:rPr>
          <w:rFonts w:ascii="Calibri" w:hAnsi="Calibri"/>
          <w:b/>
          <w:color w:val="21295C"/>
          <w:sz w:val="32"/>
        </w:rPr>
        <w:t>2. Slide-by-Slide Speaking Notes, Visual Walkthroughs &amp; Transitions</w:t>
      </w:r>
    </w:p>
    <w:p>
      <w:pPr>
        <w:keepNext/>
        <w:spacing w:before="150" w:after="36"/>
      </w:pPr>
      <w:r>
        <w:rPr>
          <w:rFonts w:ascii="Calibri" w:hAnsi="Calibri"/>
          <w:b/>
          <w:color w:val="065A82"/>
          <w:sz w:val="26"/>
        </w:rPr>
        <w:t>Slide 1 — Title Slide</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Introduce the completed BCSE302P Database Systems Lab project, team members, and faculty supervisor.</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Greet the panel and state the full title: 'Compression-Aware Vector Database Indexing for Memory-Efficient and Low-Latency Retrieval-Augmented Generation (RAG)', conducted under the supervision of Dr. D. Anuradha at SCOPE, VIT Vellore.</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PostgreSQL 18.4 with pgvector 0.8.4 evaluating 768-dimensional nomic-embed-text embeddings across 180 (Review 2 baseline), 1,001, 5,000, and 10,000 MS MARCO chunks.</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Make clear immediately that this is the completed Review 3 final presentation covering Stages 1 through 4, not a preliminary progress update.</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Let us begin on Slide 2 by examining why storing 768-dimensional embeddings inside PostgreSQL creates a physical storage bottleneck.</w:t>
      </w:r>
    </w:p>
    <w:p>
      <w:pPr>
        <w:keepNext/>
        <w:spacing w:before="150" w:after="36"/>
      </w:pPr>
      <w:r>
        <w:rPr>
          <w:rFonts w:ascii="Calibri" w:hAnsi="Calibri"/>
          <w:b/>
          <w:color w:val="065A82"/>
          <w:sz w:val="26"/>
        </w:rPr>
        <w:t>Slide 2 — Problem and Motivation</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Explain how 768-dimensional FP32 vectors cross PostgreSQL's ≈2 KiB TOAST threshold and get evicted out-of-line, whereas FP16 halfvec(768) stays inline.</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Point to the bar chart on the left: each 32-bit float vector takes 3,072 raw coordinate bytes and 3,076 bytes as empirically measured by pg_column_size(embedding) (compared with 3,080 bytes by the documented 4d+8 formula). In the tested schema, compression did not reduce the FP32 vector datum enough to avoid out-of-line TOAST storage (above PostgreSQL's approximately 2 KiB threshold on 8,192-byte pages); the empirically recorded datum size was 3,076 B, stored out-of-line in pg_toast. Casting to 16-bit IEEE 754 floats (halfvec(768)) cuts the datum size by 49.80% empirically to 1,544 bytes (matching 2d+8), keeping vectors 100% inline in the main heap.</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3,076 B empirical FP32 datum size (3,080 B formula) vs. 1,544 B FP16 datum size (49.80% empirical reduction; 49.87% formula reduction) relative to the ≈2 KiB TOAST threshold and 8,192 B (8 KiB) page size.</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Preserve both 3,076 B (empirical pg_column_size) and 3,080 B (documented 4d+8 formula) transparently; state that the 4-byte difference remains unresolved in the available evidence.</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Having seen the physical page layout problem, let us connect our investigation to the foundational research literature on Slide 3.</w:t>
      </w:r>
    </w:p>
    <w:p>
      <w:pPr>
        <w:keepNext/>
        <w:spacing w:before="150" w:after="36"/>
      </w:pPr>
      <w:r>
        <w:rPr>
          <w:rFonts w:ascii="Calibri" w:hAnsi="Calibri"/>
          <w:b/>
          <w:color w:val="065A82"/>
          <w:sz w:val="26"/>
        </w:rPr>
        <w:t>Slide 3 — Related Work and Research Gap</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Connect our work to the five peer-reviewed papers in the final report and define our exact PostgreSQL/pgvector research gap.</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Walk down the 5-row literature table on the left: Lewis et al. (2020) [10] established RAG; Malkov &amp; Yashunin (2020) [6] introduced HNSW graph indexing; Jégou et al. (2011) [7] introduced Product Quantization (PQ); Guo et al. (2020) [8] formulated anisotropic quantization loss; and Aumüller et al. (2020) [9] created the ANN-Benchmarks methodology. Then point to the right panel: standalone in-memory ANN benchmarks and learned-codebook studies do not measure how coordinate precision interacts with PostgreSQL's 8 KiB pages, pg_toast tables, shared-buffer hits, and query planner cost model.</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5 peer-reviewed papers ([6]–[10]) plus official PostgreSQL 18 [1] and pgvector 0.8.4 [2] documentation.</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Explicitly state that PQ [7], SQ, and anisotropic quantization [8] are reviewed as literature context and were NOT implemented in our benchmark; our implemented compression is deterministic SQL casting to halfvec(768). Also avoid claiming that no prior work has ever studied vector compression.</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With that research gap defined, Slide 4 outlines our four concrete objectives, scope boundary, and progression across stages.</w:t>
      </w:r>
    </w:p>
    <w:p>
      <w:pPr>
        <w:keepNext/>
        <w:spacing w:before="150" w:after="36"/>
      </w:pPr>
      <w:r>
        <w:rPr>
          <w:rFonts w:ascii="Calibri" w:hAnsi="Calibri"/>
          <w:b/>
          <w:color w:val="065A82"/>
          <w:sz w:val="26"/>
        </w:rPr>
        <w:t>Slide 4 — Objectives and Scope</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Present the four concrete objectives, establish the strict database-retrieval scope boundary, and trace the 4-stage corpus progression.</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Review the four concrete objectives on the left: (1) disaggregated storage auditing, (2) controlled latency benchmarking, (3) Recall@K and pairwise Agreement@K evaluation, and (4) Q0 query-plan and shared-buffer inspection across the recorded corpus scales. Then highlight the bottom-left Scope Boundary box: our study evaluates the PostgreSQL retrieval layer only, not human relevance judgments (qrels) or LLM generation quality. Finally, walk through the right-hand progression chart from the 180-chunk Review 2 monolithic baseline to the dedicated vector-only representation tables at 1,001, 5,000, and 10,000 chunks.</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Progression across 4 corpus scales (180 -&gt; 1,001 -&gt; 5,000 -&gt; 10,000 chunks); project test suite passes 43/43 pytest tests across the implemented modules.</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Never conflate the 180-chunk Review 2 monolithic baseline (where passage text lived in the same table as embeddings) with the Stages 2–4 dedicated two-column vector-only representation tables.</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Let us look at how this 8-step workflow is architected in code and inside PostgreSQL on Slide 5.</w:t>
      </w:r>
    </w:p>
    <w:p>
      <w:pPr>
        <w:keepNext/>
        <w:spacing w:before="150" w:after="36"/>
      </w:pPr>
      <w:r>
        <w:rPr>
          <w:rFonts w:ascii="Calibri" w:hAnsi="Calibri"/>
          <w:b/>
          <w:color w:val="065A82"/>
          <w:sz w:val="26"/>
        </w:rPr>
        <w:t>Slide 5 — System Architecture and Data Flow</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Walk through the implemented 8-step workflow (decomposing the report's 7-stage Figure 1 overview) and explain how it supports our empirical Stages 1–4 progression.</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Trace the top row from left to right: (Step 1) BeIR/MS MARCO source corpus -&gt; (Step 2) Atomic local TSV caching with SHA-256 JSON manifests -&gt; (Step 3) Deterministic sliding-window chunking (300 chars, 50 overlap, 250 stride) -&gt; (Step 4) Local Ollama nomic-embed-text 768-D embedding generation. Then trace the bottom row from right to left: (Step 5) Isolated two-column PostgreSQL tables (chunk_id, embedding) populated via deterministic SQL casting (embedding::halfvec(768)) -&gt; (Step 6) HNSW graph indexing (m=16, ef_construction=64) -&gt; (Step 7) Exact Seq Scan, Forced HNSW (ef_search=40), and Q0 EXPLAIN diagnostics -&gt; (Step 8) Fork-reconciled storage and latency reporting.</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chunk_size = 300, overlap = 50, d = 768, HNSW m = 16, ef_construction = 64, ef_search = 40 across 5 isolated PostgreSQL databases.</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The eight-step slide is a presentation-level decomposition of the report's seven-stage overview; the report's base ground-truth-table step is folded into Step 5 here. This is a grouping difference, not a methodology change. Empirical project Stages 1–4 remain distinct, and LLM generation (Qwen) is labelled as future work.</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Slide 6 details the hardware, software versions, and timing protocol used to run this pipeline.</w:t>
      </w:r>
    </w:p>
    <w:p>
      <w:pPr>
        <w:keepNext/>
        <w:spacing w:before="150" w:after="36"/>
      </w:pPr>
      <w:r>
        <w:rPr>
          <w:rFonts w:ascii="Calibri" w:hAnsi="Calibri"/>
          <w:b/>
          <w:color w:val="065A82"/>
          <w:sz w:val="26"/>
        </w:rPr>
        <w:t>Slide 6 — Experimental Setup and Methodology</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Summarize the hardware/software stack, footprint-vs-shared_buffers comparison, 100-trial alternating protocol, and Stage 3 vs. Stage 4 v2 timing boundaries.</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In Column 1, note the hardware (Intel Core Ultra 9 185H, 32 GB RAM / ~31.4 GB usable, NVMe SSD), state that database retrieval benchmarks ran in PostgreSQL (no GPU/NPU acceleration is claimed for those benchmarks, and embedding-generation device utilization was not independently verified), and point out Footprint vs. shared_buffers: at 10,000 chunks, the recorded inclusive footprint was 79.20 MiB for FP32 and 35.35 MiB for FP16, each below the configured 128 MB shared_buffers capacity (a capacity comparison, not proof of complete residency during every timed trial). In Column 2, note PostgreSQL 18.4, pgvector 0.8.4, Python 3.13.x (with 43/43 passing pytest tests across implemented modules), and local Ollama (nomic-embed-text). In Column 3, explain the 20 fixed queries x 5 measured passes = 100 timed executions per configuration.</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20 fixed queries x 5 measured passes = 100 timed executions per configuration; shared_buffers = 128 MB, maintenance_work_mem = 64 MB, work_mem = 4 MB.</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Highlight three critical qualifications: (1) omit an exact Ollama version because repo files disagree (0.4.7 vs. 0.32.13); (2) the 100 timed trials repeat the same 20 fixed queries rather than sampling 100 independent queries; and (3) Stage 3 timed a per-trial transaction/GUC block whereas Stage 4 v2 applied SET GUCs outside the timed loop and timed strictly cur.execute() + cur.fetchall().</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Speaker 1 continues to Slide 7 to present our first major empirical result: physical storage and TOAST elimination.</w:t>
      </w:r>
    </w:p>
    <w:p>
      <w:pPr>
        <w:keepNext/>
        <w:spacing w:before="150" w:after="36"/>
      </w:pPr>
      <w:r>
        <w:rPr>
          <w:rFonts w:ascii="Calibri" w:hAnsi="Calibri"/>
          <w:b/>
          <w:color w:val="065A82"/>
          <w:sz w:val="26"/>
        </w:rPr>
        <w:t>Slide 7 — Storage and TOAST Results</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Show how halfvec(768) eliminates 100% of out-of-line TOAST data payloads and cuts total storage by more than half.</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Walk through the grouped bar chart on the left (plotted directly from chart1_storage.csv): compare Pre-HNSW Base Relation storage (4.13 vs. 1.65 MiB at 1k; 20.20 vs. 7.98 MiB at 5k; 40.31 vs. 15.90 MiB at 10k) and Inclusive Post-Index Total storage (39.68 vs. 17.72 MiB at 5k; 79.20 vs. 35.35 MiB at 10k). Then use the disaggregated table on the right to show the physical mechanism: FP32 stores 39.06 MiB in out-of-line pg_toast data at 10,000 chunks (with only 512 KiB in the main heap), whereas FP16 stores 15.63 MiB inline in the main heap and 0 B in the TOAST data table, leaving only an empty 8 KiB TOAST B-tree index shell.</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60.11% lower base relation at 1,001 chunks; 55.35% lower inclusive storage at 5,000 chunks (39.6797 -&gt; 17.7188 MiB); 55.37% lower inclusive storage at 10,000 chunks (79.2031 -&gt; 35.3516 MiB); 49.90%–49.98% lower HNSW index size.</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Keep Base Relation, HNSW Index-only, and Post-Index Inclusive storage strictly separate. Point out that the 1,001-chunk post-index inclusive total was not recorded in Stage 3 and is intentionally left unrecorded rather than invented.</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Next, Slide 8 zooms in on the standalone HNSW index footprint and single-run index build times.</w:t>
      </w:r>
    </w:p>
    <w:p>
      <w:pPr>
        <w:keepNext/>
        <w:spacing w:before="150" w:after="36"/>
      </w:pPr>
      <w:r>
        <w:rPr>
          <w:rFonts w:ascii="Calibri" w:hAnsi="Calibri"/>
          <w:b/>
          <w:color w:val="065A82"/>
          <w:sz w:val="26"/>
        </w:rPr>
        <w:t>Slide 8 — HNSW Index Size and Build Time</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Present the ~50% reduction in HNSW graph index size alongside the single-run index build durations under matched HNSW build parameters.</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Point to the left chart (HNSW Index Footprint): because pgvector stores 16-bit halfvec coordinates inside the HNSW index tuples when using halfvec_cosine_ops, standalone index size is 49.90% lower at 1,001 chunks (3.90 -&gt; 1.95 MiB) and 49.98% lower at 5,000 chunks (19.48 -&gt; 9.74 MiB) and 10,000 chunks (38.89 -&gt; 19.45 MiB). Point to the right table (Single-Run Build Time): wall-clock CREATE INDEX times were 0.2334 s vs. 0.1606 s at 1k, 1.4615 s vs. 1.2640 s at 5k, and 3.7617 s vs. 2.6411 s at 10k.</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HNSW index size: 49.90% lower (1k) and 49.98% lower (5k, 10k). Single-run build times: 0.2334 s vs. 0.1606 s (1k), 1.4615 s vs. 1.2640 s (5k), and 3.7617 s vs. 2.6411 s (10k).</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Note two qualifications: (1) both representations used matched HNSW build parameters (m = 16, ef_construction = 64), but this does not establish that the resulting FP32 and FP16 graph topologies are identical; (2) index build durations are single-run observations without repeated trials, confidence intervals, or WAL/peak-RAM profiling (1k reduction is 31.18% in Stage 3 report vs. 31.19% from rounded values).</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I now hand over to Anjini Pandey for Slide 9 to examine how inline storage affects query retrieval latency.</w:t>
      </w:r>
    </w:p>
    <w:p>
      <w:pPr>
        <w:keepNext/>
        <w:spacing w:before="150" w:after="36"/>
      </w:pPr>
      <w:r>
        <w:rPr>
          <w:rFonts w:ascii="Calibri" w:hAnsi="Calibri"/>
          <w:b/>
          <w:color w:val="065A82"/>
          <w:sz w:val="26"/>
        </w:rPr>
        <w:t>Slide 9 — Exact-Search Latency</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Show the 6.22x–7.24x mean (7.12x–8.03x median) latency reduction in Stage 4 v2 exhaustive exact sequential scans.</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Compare the grouped bars on the left (plotted from chart4_latency.csv): at 5,000 chunks, FP32 Exact takes 42.285 ms mean (44.694 ms median) whereas FP16 Exact takes 6.802 ms mean (6.277 ms median)—a 6.22x mean (83.91% lower) and 7.12x median (85.96% lower) speedup. At 10,000 chunks, FP32 Exact takes 89.004 ms mean (92.664 ms median) whereas FP16 Exact takes 12.301 ms mean (11.541 ms median)—a 7.24x mean (86.18% lower) and 8.03x median (87.55% lower) speedup.</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5,000 chunks: 42.285 ms -&gt; 6.802 ms mean (6.22x), 44.694 ms -&gt; 6.277 ms median (7.12x). 10,000 chunks: 89.004 ms -&gt; 12.301 ms mean (7.24x), 92.664 ms -&gt; 11.541 ms median (8.03x). FP16 won 100/100 paired trials.</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Explain that these are client-observed timings under the Stage 4 v2 harness (LIMIT 10, GUCs outside timer) and that while the speedup is consistent with eliminating out-of-line TOAST reconstruction and reducing page accesses, the Q0 diagnostic alone does not prove per-trial causality.</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Does this large exact-scan speedup also happen when querying an HNSW index? Let us check Slide 10.</w:t>
      </w:r>
    </w:p>
    <w:p>
      <w:pPr>
        <w:keepNext/>
        <w:spacing w:before="150" w:after="36"/>
      </w:pPr>
      <w:r>
        <w:rPr>
          <w:rFonts w:ascii="Calibri" w:hAnsi="Calibri"/>
          <w:b/>
          <w:color w:val="065A82"/>
          <w:sz w:val="26"/>
        </w:rPr>
        <w:t>Slide 10 — Forced-HNSW Latency</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Show that forced-HNSW latency was broadly similar between FP32 and FP16 (~3.37–4.13 ms mean) and explain the cache and diagnostic context cautiously.</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Point to the grouped bar chart on the left (plotted separately from Exact Search): at 5,000 chunks, FP32 Forced HNSW averaged 4.129 ms (3.371 ms median, with a maximum recorded latency of 42.670 ms) vs. 3.372 ms mean (2.923 ms median) for FP16. At 10,000 chunks, FP32 Forced HNSW averaged 3.674 ms (3.415 ms median) vs. 3.856 ms mean (3.820 ms median) for FP16—meaning FP16 was 4.95% slower on the mean and 11.86% slower on the median in chart4_latency.csv (11.84% in Stage 4 prose).</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5,000 chunks Forced HNSW: FP32 4.129 ms vs. FP16 3.372 ms mean. 10,000 chunks Forced HNSW: FP32 3.674 ms vs. FP16 3.856 ms mean.</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Use cautious interpretation: the recorded Q0 plans reported shared read = 0 (with 753–930 buffer page hits, which are buffer page accesses rather than counts of unique graph nodes), and both the standalone HNSW index sizes (38.89 MiB and 19.45 MiB at 10k) and inclusive footprints (79.20 MiB and 35.35 MiB) fit within the configured 128 MB shared_buffers capacity. These observations are consistent with warm-cache behaviour, but do not prove complete buffer residency throughout every timed trial or isolate causality.</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Now that we have compared storage and latency, Slide 11 asks whether 16-bit precision sacrifices top-K retrieval fidelity.</w:t>
      </w:r>
    </w:p>
    <w:p>
      <w:pPr>
        <w:keepNext/>
        <w:spacing w:before="150" w:after="36"/>
      </w:pPr>
      <w:r>
        <w:rPr>
          <w:rFonts w:ascii="Calibri" w:hAnsi="Calibri"/>
          <w:b/>
          <w:color w:val="065A82"/>
          <w:sz w:val="26"/>
        </w:rPr>
        <w:t>Slide 11 — Recall@K</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Demonstrate that FP16 HNSW preserves high top-K set overlap (0.9600 Recall@10) against uncompressed FP32 exact ground truth.</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Point to the zero-based 0.0–1.0 chart on the left with four-decimal labels (plotted from chart3_hnsw_recall.csv): at 5,000 chunks, FP32 HNSW and FP16 HNSW are identical at Recall@3 (0.9167) and Recall@5 (0.9100), and FP16 reaches 0.9600 vs. 0.9550 at Recall@10. At 10,000 chunks, FP32 HNSW records 0.9667, 0.9500, and 0.9450 across K=3, 5, 10, while FP16 HNSW records 0.9500, 0.9400, and 0.9600. Also note from the right table that Stage 2 unindexed FP16 Exact Search achieved 0.9833 (59/60 matching top-3 IDs) at K=3 and 1.0000 at K=5 and K=10.</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5,000c Recall@3/5/10: FP32 (0.9167, 0.9100, 0.9550) vs. FP16 (0.9167, 0.9100, 0.9600). 10,000c Recall@3/5/10: FP32 (0.9667, 0.9500, 0.9450) vs. FP16 (0.9500, 0.9400, 0.9600).</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Explain that because Recall@K is computed via separate top-K set intersections where both the numerator reference set and denominator K change with each cutoff (|Top-K_FP32_Exact ∩ Top-K_Cand| / K), values need not increase monotonically with K, and aggregate set-overlap numbers do not establish a specific cause for cutoff differences.</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Slide 12 complements ground-truth Recall@K with direct FP32-vs-FP16 HNSW pairwise agreement and our single-query Q0 buffer diagnostics.</w:t>
      </w:r>
    </w:p>
    <w:p>
      <w:pPr>
        <w:keepNext/>
        <w:spacing w:before="150" w:after="36"/>
      </w:pPr>
      <w:r>
        <w:rPr>
          <w:rFonts w:ascii="Calibri" w:hAnsi="Calibri"/>
          <w:b/>
          <w:color w:val="065A82"/>
          <w:sz w:val="26"/>
        </w:rPr>
        <w:t>Slide 12 — Pairwise Agreement@10 and Q0 Buffer Diagnostics</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Present pairwise HNSW candidate-set Agreement@K alongside all six single-query Q0 EXPLAIN (ANALYZE, BUFFERS) diagnostic rows.</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On the left chart (chart3_pairwise_agreement.csv), show that direct overlap between FP32 HNSW and FP16 HNSW top-K sets is 1.0000 at 1,001 chunks, 0.9850 for Agreement@10 at 5,000 chunks, and 0.9500 for Agreement@10 at 10,000 chunks. On the right table, walk through all six diagnostic rows (noting that the 1k rows come from Stage 2/3 report plan samples—where available evidence does not establish that the 1k samples are Q0—while the 5k/10k Q0 diagnostic rows come from chart2_q0_diagnostics.csv): Exact Search recorded 93.32% fewer buffer hits at 1k (3,010 -&gt; 201; 14.98× ratio) and 93.35% fewer buffer hits at 5k (15,032 -&gt; 1,000; 15.03× ratio) and 10k (30,064 -&gt; 2,000; 15.03× ratio), while Forced HNSW recorded 13.61% fewer buffer hits at 1k (595 -&gt; 514; 1.267 -&gt; 0.886 ms), 9.28% fewer at 5k (830 -&gt; 753; 0.571 -&gt; 0.405 ms), and 8.92% fewer at 10k (930 -&gt; 847; 0.624 -&gt; 0.503 ms).</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Agreement@10: 0.9850 (5k) and 0.9500 (10k). Q0 Exact buffer hits: 93.32% fewer at 1k (14.98× ratio) and 93.35% fewer at 5k &amp; 10k (15.03× ratio); Q0 Forced HNSW: 13.61% (1k), 9.28% (5k), and 8.92% (10k) fewer buffer hits.</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Keep Agreement@K and Q0 diagnostics clearly distinct: Agreement@K divides intersection size by K across 20 queries (not Jaccard or semantic relevance), while Q0 figures come from a single diagnostic query (shared read = 0), not all 100 timed trials.</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Why did PostgreSQL's query planner choose different paths at 1,001 chunks? Slide 13 examines the recorded query plans.</w:t>
      </w:r>
    </w:p>
    <w:p>
      <w:pPr>
        <w:keepNext/>
        <w:spacing w:before="150" w:after="36"/>
      </w:pPr>
      <w:r>
        <w:rPr>
          <w:rFonts w:ascii="Calibri" w:hAnsi="Calibri"/>
          <w:b/>
          <w:color w:val="065A82"/>
          <w:sz w:val="26"/>
        </w:rPr>
        <w:t>Slide 13 — Query Planner and Practical Trade-Offs</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Explain the representation-specific query planner behaviour and why PostgreSQL's sequential scan cost model undercounts out-of-line TOAST blocks.</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Walk through the planner cost table on the right: at 1,001 chunks, the recorded plan shows that PostgreSQL selected HNSW Index Scan for FP32 (7 main-heap blocks, with unforced Stage 3 alternative-plan costs not recorded) and Seq Scan for FP16 across its 201 inline heap blocks (Seq Scan + Sort cost 235.17; alternative HNSW cost not recorded, shown as n/r). At 5,000 chunks, FP16's recorded Index Scan + Limit cost (529.00) was lower than its Seq Scan + Sort cost (1170.57 across 1,000 inline blocks), and HNSW Index Scan remained selected at 10,000 chunks (566.31 vs. 2341.12 across 2,000 blocks). Explain why FP32's forced Seq Scan cost looks low (202.57 at 5k; 405.12 at 10k): PostgreSQL's seq_page_cost formula uses the main heap's relpages (32 and 64 blocks) without directly pricing out-of-line pg_toast pages.</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FP32: Index Scan at 1,001, 5,000, and 10,000 chunks. FP16: Seq Scan at 1,001 chunks (201 blocks, cost 235.17), transitioning to Index Scan at 5,000 (529.00 vs. 1170.57) and 10,000 chunks (566.31 vs. 2341.12).</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Do not claim that the 7-block heap alone caused the FP32 index selection at 1,001 chunks (since unforced Stage 3 alternative costs were not recorded), do not invent an exact crossover threshold between 1,001 and 5,000 chunks, and emphasize that planner costs are model units rather than elapsed time.</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Before concluding, Slide 14 candidly summarizes the methodological limitations and validity boundaries of our study.</w:t>
      </w:r>
    </w:p>
    <w:p>
      <w:pPr>
        <w:keepNext/>
        <w:spacing w:before="150" w:after="36"/>
      </w:pPr>
      <w:r>
        <w:rPr>
          <w:rFonts w:ascii="Calibri" w:hAnsi="Calibri"/>
          <w:b/>
          <w:color w:val="065A82"/>
          <w:sz w:val="26"/>
        </w:rPr>
        <w:t>Slide 14 — Limitations and Threats to Validity</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Present a transparent, structured account of internal, construct, external, and archive validity boundaries.</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Walk through the four quadrant cards: (1) Internal &amp; Statistical Validity (Stage 3 vs. Stage 4 v2 timing boundaries, 100 trials = 20 queries x 5 passes, descriptive stats without significance tests); (2) Construct &amp; External Validity (set-overlap metrics rather than human qrels or LLM answer quality, single laptop and 768-D model, footprints below the 128 MB shared_buffers capacity as a capacity comparison rather than proof of residency, and 1,536-D halfvec = 3,080 B &gt; ≈2 KiB); (3) Index-Build &amp; Q0 I/O Evidence (single-run build times without WAL profiling, Q0 single-query diagnostics with shared read = 0); and (4) Disclosed Source &amp; Archive Notes (3,076 B empirical vs. 3,080 B formula datum size with unresolved cause, unrecorded Stage 3 inclusive total/planner costs, and version differences in older repo files).</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20 queries x 5 passes = 100 repeated trials; shared_buffers = 128 MB; 3,076 B empirical vs. 3,080 B formula datum size.</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Being upfront about these boundaries strengthens our academic credibility during the viva and prevents overclaiming.</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Slide 15 brings together our three main conclusions and four concrete directions for future work.</w:t>
      </w:r>
    </w:p>
    <w:p>
      <w:pPr>
        <w:keepNext/>
        <w:spacing w:before="150" w:after="36"/>
      </w:pPr>
      <w:r>
        <w:rPr>
          <w:rFonts w:ascii="Calibri" w:hAnsi="Calibri"/>
          <w:b/>
          <w:color w:val="065A82"/>
          <w:sz w:val="26"/>
        </w:rPr>
        <w:t>Slide 15 — Conclusion and Future Work</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Summarize the three verified findings of the project and outline four future research extensions.</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Review the left panel: (1) 55.35%–55.37% lower inclusive post-index storage, 49.90%–49.98% smaller HNSW indexes, and 0 B out-of-line TOAST data payloads; (2) 6.22x–7.24x lower exact-search mean latency (7.12x–8.03x median), while forced-HNSW latency remained broadly similar (~3.37–4.13 ms mean); (3) high top-K set overlap (0.9600 Recall@10 and 0.9500–0.9850 Agreement@10) within the retrieval layer; and the submitted IDF. Then summarize the right panel's future work: scaling to 100k–1M+ vectors under memory pressure by recording PostgreSQL shared-buffer reads alongside OS-level I/O instrumentation (since shared read &gt; 0 alone may still be satisfied by the OS page cache), multi-trial index builds with WAL profiling, testing 1,536-D/3,072-D vectors with PQ/SQ/anisotropic/binary compression, and evaluating MS MARCO qrels (MRR@10, nDCG@10) with an end-to-end LLM generator.</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Storage: 55.35%–55.37% lower inclusive, 49.90%–49.98% smaller HNSW index, 0 B TOAST data. Exact latency: 6.22x–7.24x lower mean. Fidelity: 0.9600 Recall@10.</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Clarify that a nonzero PostgreSQL shared-read count alone does not prove physical disk I/O without OS-level I/O instrumentation, and keep implemented work clearly separated from future work.</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Finally, Slide 16 lists the peer-reviewed publications and technical references that ground our report.</w:t>
      </w:r>
    </w:p>
    <w:p>
      <w:pPr>
        <w:keepNext/>
        <w:spacing w:before="150" w:after="36"/>
      </w:pPr>
      <w:r>
        <w:rPr>
          <w:rFonts w:ascii="Calibri" w:hAnsi="Calibri"/>
          <w:b/>
          <w:color w:val="065A82"/>
          <w:sz w:val="26"/>
        </w:rPr>
        <w:t>Slide 16 — References</w:t>
      </w:r>
    </w:p>
    <w:p>
      <w:pPr>
        <w:keepNext/>
        <w:spacing w:before="10" w:after="24" w:line="259" w:lineRule="auto"/>
      </w:pPr>
      <w:r>
        <w:rPr>
          <w:rFonts w:ascii="Calibri" w:hAnsi="Calibri"/>
          <w:b/>
          <w:color w:val="21295C"/>
          <w:sz w:val="22"/>
        </w:rPr>
        <w:t xml:space="preserve">• Core Message: </w:t>
      </w:r>
      <w:r>
        <w:rPr>
          <w:rFonts w:ascii="Calibri" w:hAnsi="Calibri"/>
          <w:color w:val="1A2433"/>
          <w:sz w:val="22"/>
        </w:rPr>
        <w:t>Display the five peer-reviewed references ([6]–[10]) and five technical documentation/artifact references ([1]–[5]) from the final report.</w:t>
      </w:r>
    </w:p>
    <w:p>
      <w:pPr>
        <w:keepNext/>
        <w:spacing w:before="10" w:after="24" w:line="259" w:lineRule="auto"/>
      </w:pPr>
      <w:r>
        <w:rPr>
          <w:rFonts w:ascii="Calibri" w:hAnsi="Calibri"/>
          <w:b/>
          <w:color w:val="1C7293"/>
          <w:sz w:val="22"/>
        </w:rPr>
        <w:t xml:space="preserve">• How to Explain Visually: </w:t>
      </w:r>
      <w:r>
        <w:rPr>
          <w:rFonts w:ascii="Calibri" w:hAnsi="Calibri"/>
          <w:color w:val="1A2433"/>
          <w:sz w:val="22"/>
        </w:rPr>
        <w:t>Point out that all ten references match Section 9 of our consolidated report, including Malkov, Y. A., &amp; Yashunin, D. A. (2020) [6], Jégou et al. (2011) [7], Guo et al. (2020) [8], Aumüller et al. (2020) [9], and Lewis et al. (2020) [10] (with its official NeurIPS URL), plus PostgreSQL 18 TOAST docs (Chapter 66, Section 66.2) [1], pgvector [2], BeIR/MS MARCO [3], Ollama/nomic-embed-text [4], and our project archive [5].</w:t>
      </w:r>
    </w:p>
    <w:p>
      <w:pPr>
        <w:keepNext/>
        <w:spacing w:before="10" w:after="24" w:line="259" w:lineRule="auto"/>
      </w:pPr>
      <w:r>
        <w:rPr>
          <w:rFonts w:ascii="Calibri" w:hAnsi="Calibri"/>
          <w:b/>
          <w:color w:val="006D5B"/>
          <w:sz w:val="22"/>
        </w:rPr>
        <w:t xml:space="preserve">• Headline Numbers to Cite: </w:t>
      </w:r>
      <w:r>
        <w:rPr>
          <w:rFonts w:ascii="Calibri" w:hAnsi="Calibri"/>
          <w:color w:val="1A2433"/>
          <w:sz w:val="22"/>
        </w:rPr>
        <w:t>10 verified references ([1]–[10]) with exact bibliographic titles and DOIs or official URLs where available from Section 9 of the consolidated report.</w:t>
      </w:r>
    </w:p>
    <w:p>
      <w:pPr>
        <w:keepNext/>
        <w:spacing w:before="10" w:after="24" w:line="259" w:lineRule="auto"/>
      </w:pPr>
      <w:r>
        <w:rPr>
          <w:rFonts w:ascii="Calibri" w:hAnsi="Calibri"/>
          <w:b/>
          <w:color w:val="9A5B00"/>
          <w:sz w:val="22"/>
        </w:rPr>
        <w:t xml:space="preserve">• Main Qualification to Remember: </w:t>
      </w:r>
      <w:r>
        <w:rPr>
          <w:rFonts w:ascii="Calibri" w:hAnsi="Calibri"/>
          <w:color w:val="1A2433"/>
          <w:sz w:val="22"/>
        </w:rPr>
        <w:t>Do not invent any additional citations or claim that every reference has a DOI.</w:t>
      </w:r>
    </w:p>
    <w:p>
      <w:pPr>
        <w:keepNext w:val="0"/>
        <w:spacing w:before="10" w:after="70" w:line="259" w:lineRule="auto"/>
      </w:pPr>
      <w:r>
        <w:rPr>
          <w:rFonts w:ascii="Calibri" w:hAnsi="Calibri"/>
          <w:b/>
          <w:color w:val="4A5568"/>
          <w:sz w:val="22"/>
        </w:rPr>
        <w:t xml:space="preserve">• Transition to Next Slide: </w:t>
      </w:r>
      <w:r>
        <w:rPr>
          <w:rFonts w:ascii="Calibri" w:hAnsi="Calibri"/>
          <w:color w:val="1A2433"/>
          <w:sz w:val="22"/>
        </w:rPr>
        <w:t>Thank Dr. D. Anuradha and the viva panel and open the floor for questions.</w:t>
      </w:r>
    </w:p>
    <w:p>
      <w:r>
        <w:br w:type="page"/>
      </w:r>
    </w:p>
    <w:p>
      <w:pPr>
        <w:keepNext/>
        <w:spacing w:before="220" w:after="80"/>
        <w:pBdr>
          <w:bottom w:val="single" w:sz="12" w:space="4" w:color="065A82"/>
        </w:pBdr>
      </w:pPr>
      <w:r>
        <w:rPr>
          <w:rFonts w:ascii="Calibri" w:hAnsi="Calibri"/>
          <w:b/>
          <w:color w:val="21295C"/>
          <w:sz w:val="32"/>
        </w:rPr>
        <w:t>3. Likely Faculty Viva Questions &amp; Technically Accurate Answers</w:t>
      </w:r>
    </w:p>
    <w:p>
      <w:pPr>
        <w:keepNext/>
        <w:spacing w:before="88" w:after="36"/>
      </w:pPr>
      <w:r>
        <w:rPr>
          <w:rFonts w:ascii="Calibri" w:hAnsi="Calibri"/>
          <w:b/>
          <w:color w:val="21295C"/>
          <w:sz w:val="26"/>
        </w:rPr>
        <w:t>Q1. Why does storing 768-dimensional FP32 vectors trigger PostgreSQL TOAST, whereas FP16 halfvec(768) stays inline?</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PostgreSQL stores relation data in fixed 8,192-byte (8 KiB) pages and applies an oversized-attribute threshold (TOAST_TUPLE_THRESHOLD) of approximately 2 KiB. A 768-dimensional 32-bit float vector (vector(768)) occupies 3,072 raw coordinate bytes and 3,076 bytes as empirically measured by pg_column_size(embedding) (3,080 bytes under the documented 4d + 8 formula). In the tested schema, compression did not reduce the FP32 vector datum enough to avoid out-of-line TOAST storage; the empirically recorded datum size was 3,076 B, so PostgreSQL slices and stores the FP32 vector out-of-line in a secondary pg_toast table, leaving only a small TOAST pointer in the main heap. When we cast to 16-bit half-precision floats (halfvec(768)), each coordinate takes 2 bytes instead of 4, reducing the datum size to 1,544 bytes (2d + 8). Because 1,544 bytes sits below the approximately 2 KiB threshold, PostgreSQL stores the entire vector inline inside the main 8 KiB heap page, reducing out-of-line TOAST data payloads to 0 bytes (with only an empty 8 KiB TOAST B-tree index shell remaining).</w:t>
      </w:r>
    </w:p>
    <w:p>
      <w:pPr>
        <w:keepNext/>
        <w:spacing w:before="88" w:after="36"/>
      </w:pPr>
      <w:r>
        <w:rPr>
          <w:rFonts w:ascii="Calibri" w:hAnsi="Calibri"/>
          <w:b/>
          <w:color w:val="21295C"/>
          <w:sz w:val="26"/>
        </w:rPr>
        <w:t>Q2. Why is there a 4-byte difference between the empirical FP32 datum size (3,076 B) and the documented formula (3,080 B)?</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Under pgvector's documented storage formula for vector(d), a vector is described as 4d + 8 bytes (3,072 coordinate bytes + 8 bytes of header = 3,080 bytes). However, querying PostgreSQL's catalog function pg_column_size(embedding) across our Stage 2 (1,001 chunks) and Stage 4 (5,000 and 10,000 chunks) tables consistently returned min = max = avg = 3,076 bytes for vector(768) and 1,544 bytes for halfvec(768). The exact reason for this 4-byte empirical/formula difference remains unresolved in the available project evidence; while differences in datum headers, varlena representation, or TOAST pointer/chunk accounting are possible explanations, none is claimed as a verified cause. We report both numbers transparently: 49.80% empirical reduction (3,076 B -&gt; 1,544 B) and 49.87% formula reduction (3,080 B -&gt; 1,544 B).</w:t>
      </w:r>
    </w:p>
    <w:p>
      <w:pPr>
        <w:keepNext/>
        <w:spacing w:before="88" w:after="36"/>
      </w:pPr>
      <w:r>
        <w:rPr>
          <w:rFonts w:ascii="Calibri" w:hAnsi="Calibri"/>
          <w:b/>
          <w:color w:val="21295C"/>
          <w:sz w:val="26"/>
        </w:rPr>
        <w:t>Q3. Why did you create separate two-column representation tables (chunks_*_fp32 and chunks_*_halfvec) in Stages 2–4 instead of benchmarking directly on document_chunks?</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In our Review 2 baseline (180 chunks), the embedding column lived inside the monolithic document_chunks table alongside variable-length passage text (chunk_text). If we measured table size, TOAST usage, or sequential scan buffer hits on a table containing both text and vectors, variable text lengths and text compression would confound the vector storage measurements. By creating dedicated two-column representation tables—(chunk_id INT PRIMARY KEY, embedding vector(768)) and (chunk_id INT PRIMARY KEY, embedding halfvec(768))—and populating FP16 via deterministic in-database SQL casting (embedding::halfvec(768)), we ensured identical row counts, identical chunk IDs, and zero confounding text columns.</w:t>
      </w:r>
    </w:p>
    <w:p>
      <w:pPr>
        <w:keepNext/>
        <w:spacing w:before="88" w:after="36"/>
      </w:pPr>
      <w:r>
        <w:rPr>
          <w:rFonts w:ascii="Calibri" w:hAnsi="Calibri"/>
          <w:b/>
          <w:color w:val="21295C"/>
          <w:sz w:val="26"/>
        </w:rPr>
        <w:t>Q4. How is storage disaggregated in your audit, and why is the 1,001-chunk post-index inclusive total marked 'Not recorded'?</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Our storage audit in src/scale_experiment.py queries pg_class to separate six physical components: (1) Main table heap (pg_relation_size(oid)), (2) Out-of-line TOAST data table (pg_relation_size(reltoastrelid)), (3) TOAST B-tree index (pg_indexes_size(reltoastrelid)), (4) Primary-key B-tree index, (5) Standalone HNSW index (pg_relation_size(index_oid)), and (6) Heap auxiliary forks (_fsm Free Space Map + _vm Visibility Map). In Stage 4, summing these components reconciles to the exact byte with pg_total_relation_size(oid): at 5,000 chunks, inclusive storage fell by 55.35% (39.6797 MiB -&gt; 17.7188 MiB), and at 10,000 chunks it fell by 55.37% (79.2031 MiB -&gt; 35.3516 MiB). In Stage 3 (1,001 chunks), pre-HNSW base relation size (60.11% lower, 4.13 -&gt; 1.65 MiB) and standalone HNSW index size (49.90% lower, 3.90 -&gt; 1.95 MiB) were recorded separately, but a single post-index pg_total_relation_size query was not logged in the Stage 3 report, so we leave that cell unrecorded rather than inventing a post-hoc sum.</w:t>
      </w:r>
    </w:p>
    <w:p>
      <w:pPr>
        <w:keepNext/>
        <w:spacing w:before="88" w:after="36"/>
      </w:pPr>
      <w:r>
        <w:rPr>
          <w:rFonts w:ascii="Calibri" w:hAnsi="Calibri"/>
          <w:b/>
          <w:color w:val="21295C"/>
          <w:sz w:val="26"/>
        </w:rPr>
        <w:t>Q5. Why did FP16 achieve a 6.22x–7.24x mean latency reduction in Exact Search, while Forced-HNSW latency remained broadly similar (~3.37–4.13 ms)?</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In exhaustive Exact Search (Seq Scan), PostgreSQL scans every row in the table and computes cosine distance across all N vectors. For FP32, every 3,076-byte vector is stored out-of-line in pg_toast, whereas for FP16, all 1,544-byte vectors sit inline in the main heap (in Q0 diagnostics, shared-buffer hits fell from 15,032 to 1,000 at 5k and from 30,064 to 2,000 at 10k—93.35% fewer buffer hits, a 15.03× ratio). Under Forced HNSW (ef_search = 40), queries traverse a bounded candidate neighborhood in the HNSW index rather than scanning the full table heap. In Q0 diagnostics, both representations reported shared read = 0 (with 753–930 buffer page hits, which measure page touches rather than unique graph nodes), and both the standalone HNSW index sizes (38.89 MiB and 19.45 MiB at 10k) and the inclusive relation/index footprints (79.20 MiB and 35.35 MiB at 10k) fit within the configured 128 MB shared_buffers capacity. These observations are consistent with warm-cache behaviour—without proving complete residency on every timed trial or isolating causality from Q0 hit counts—where exact-search latency was much lower for FP16 while forced-HNSW latency remained broadly similar (and FP16 was slower on the recorded 10,000-chunk means: 3.856 ms vs. 3.674 ms).</w:t>
      </w:r>
    </w:p>
    <w:p>
      <w:pPr>
        <w:keepNext/>
        <w:spacing w:before="88" w:after="36"/>
      </w:pPr>
      <w:r>
        <w:rPr>
          <w:rFonts w:ascii="Calibri" w:hAnsi="Calibri"/>
          <w:b/>
          <w:color w:val="21295C"/>
          <w:sz w:val="26"/>
        </w:rPr>
        <w:t>Q6. Does the 93.35% reduction in Query 0 (Q0) shared-buffer hits prove that buffer hits caused the exact-search latency speedup?</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No. The Q0 figures come from one diagnostic execution of Query 0, whereas the latency statistics come from 100 timed executions across 20 fixed queries. The recorded Q0 plans reported shared read = 0, and the shared-buffer hit counts measure page accesses, including repeated touches; they are not counts of unique pages or graph nodes. These observations are consistent with the measured exact-search latency improvement, but they do not independently prove the causal contribution of buffer hits, quantify the separate effect of TOAST reconstruction, or establish physical disk-I/O behaviour.</w:t>
      </w:r>
    </w:p>
    <w:p>
      <w:pPr>
        <w:keepNext/>
        <w:spacing w:before="88" w:after="36"/>
      </w:pPr>
      <w:r>
        <w:rPr>
          <w:rFonts w:ascii="Calibri" w:hAnsi="Calibri"/>
          <w:b/>
          <w:color w:val="21295C"/>
          <w:sz w:val="26"/>
        </w:rPr>
        <w:t>Q7. How does HNSW indexing work, and do m = 16 and ef_construction = 64 guarantee identical FP32 and FP16 graph topologies?</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Introduced by Malkov and Yashunin (2020) [6], Hierarchical Navigable Small World (HNSW) organizes vectors into multi-layer proximity graphs where Layer 0 contains all N vectors and upper layers contain sparser routing subsets. In pgvector: (1) m = 16 controls the base bidirectional link parameter per node (with pgvector permitting up to 2m = 32 connections on layer 0); (2) ef_construction = 64 sets the dynamic candidate list size during CREATE INDEX; and (3) hnsw.ef_search = 40 sets the dynamic candidate queue width during search. Importantly, matched m = 16 and ef_construction = 64 do not guarantee identical FP32 and FP16 graph topologies: HNSW level assignment is randomized by the algorithm itself (not caused by FP16 rounding), and precision-dependent distance comparisons may also affect neighbour selection, though the relative contribution of these factors was not isolated in this project.</w:t>
      </w:r>
    </w:p>
    <w:p>
      <w:pPr>
        <w:keepNext/>
        <w:spacing w:before="88" w:after="36"/>
      </w:pPr>
      <w:r>
        <w:rPr>
          <w:rFonts w:ascii="Calibri" w:hAnsi="Calibri"/>
          <w:b/>
          <w:color w:val="21295C"/>
          <w:sz w:val="26"/>
        </w:rPr>
        <w:t>Q8. Can you claim that FP16 speeds up HNSW index construction by 13.5%–31.2% in general?</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No. While our recorded wall-clock CREATE INDEX times were lower for FP16 at all three scales—0.1606 s vs. 0.2334 s at 1,001 chunks (31.18% lower in Stage 3 report / 31.19% from rounded values), 1.2640 s vs. 1.4615 s at 5,000 chunks (13.52% lower), and 2.6411 s vs. 3.7617 s at 10,000 chunks (29.79% lower)—each build duration is a single-run observation without repeated build trials, variance estimates, or Write-Ahead Log (WAL) instrumentation. We report them strictly as single-run observations.</w:t>
      </w:r>
    </w:p>
    <w:p>
      <w:pPr>
        <w:keepNext/>
        <w:spacing w:before="88" w:after="36"/>
      </w:pPr>
      <w:r>
        <w:rPr>
          <w:rFonts w:ascii="Calibri" w:hAnsi="Calibri"/>
          <w:b/>
          <w:color w:val="21295C"/>
          <w:sz w:val="26"/>
        </w:rPr>
        <w:t>Q9. At 10,000 chunks, why does FP32 HNSW Recall@K decrease slightly as K increases (0.9667 at K=3, 0.9500 at K=5, 0.9450 at K=10)? Is that a bug?</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It is not a bug; it is a mathematical property of top-K set-overlap recall. In classical information retrieval against a fixed set of human-labeled relevant documents R, cumulative Recall@K = |R ∩ Top-K| / |R| has a fixed denominator |R| and must increase monotonically with K. In ANN benchmarking (and in our calculate_overlap_recall function), Recall@K compares an approximate method's top-K set against the exact search top-K set at that same cutoff K: Recall@K = (1/20) * sum(|Top-K_FP32_Exact(q) ∩ Top-K_Cand(q)| / K). Because both the ground-truth reference set Top-K_FP32_Exact(q) and the denominator K change when moving from K=3 to K=5 to K=10, the overlap fraction is not mathematically required to be monotonic.</w:t>
      </w:r>
    </w:p>
    <w:p>
      <w:pPr>
        <w:keepNext/>
        <w:spacing w:before="88" w:after="36"/>
      </w:pPr>
      <w:r>
        <w:rPr>
          <w:rFonts w:ascii="Calibri" w:hAnsi="Calibri"/>
          <w:b/>
          <w:color w:val="21295C"/>
          <w:sz w:val="26"/>
        </w:rPr>
        <w:t>Q10. At 10,000 chunks, why are the recorded FP16 HNSW values at Recall@3 (0.9500) and Recall@5 (0.9400) slightly below the corresponding FP32 HNSW values (0.9667 and 0.9500)?</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The measurements show lower top-K set overlap between FP16 HNSW and the uncompressed FP32 exact reference at those cutoffs (0.9500 vs. 0.9667 at K = 3, and 0.9400 vs. 0.9500 at K = 5), while FP16's recorded Recall@10 is 0.9600 (compared with 0.9450 for FP32 HNSW). Our evaluation measures top-K set overlap against exact cosine search rather than human-judged semantic relevance, and the available aggregate results do not establish a specific rank-wise or precision-rounding reason for the differences.</w:t>
      </w:r>
    </w:p>
    <w:p>
      <w:pPr>
        <w:keepNext/>
        <w:spacing w:before="88" w:after="36"/>
      </w:pPr>
      <w:r>
        <w:rPr>
          <w:rFonts w:ascii="Calibri" w:hAnsi="Calibri"/>
          <w:b/>
          <w:color w:val="21295C"/>
          <w:sz w:val="26"/>
        </w:rPr>
        <w:t>Q11. What is the difference between Recall@K and Pairwise Agreement@K in your evaluation?</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Recall@K measures accuracy against the uncompressed exact ground truth: it compares a candidate method's top-K chunk IDs against the exhaustive FP32 Exact Seq Scan top-K chunk IDs (|Top-K_FP32_Exact(q) ∩ Top-K_Cand(q)| / K). Pairwise Agreement@K directly compares the two approximate HNSW indexes against each other: it measures the symmetric overlap fraction between FP32 HNSW and FP16 HNSW top-K candidate sets at ef_search = 40 (|S_FP32(q) ∩ S_FP16(q)| / K), reaching 1.0000 at 1,001 chunks, 0.9850 at 5,000 chunks, and 0.9500 at 10,000 chunks for K=10. Note that Agreement@K divides by K rather than the union size |A ∪ B|, so it is a top-K overlap fraction, not Jaccard similarity.</w:t>
      </w:r>
    </w:p>
    <w:p>
      <w:pPr>
        <w:keepNext/>
        <w:spacing w:before="88" w:after="36"/>
      </w:pPr>
      <w:r>
        <w:rPr>
          <w:rFonts w:ascii="Calibri" w:hAnsi="Calibri"/>
          <w:b/>
          <w:color w:val="21295C"/>
          <w:sz w:val="26"/>
        </w:rPr>
        <w:t>Q12. In Stage 2 (1,001 chunks), FP16 Exact Search recorded Recall@3 = 0.9833. What does 0.9833 represent?</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The recorded aggregate (0.9833) corresponds to 59 matching top-three IDs out of 60 top-K slots across 20 queries (with 1.0000 overlap at K = 5 and K = 10 in Stage 2). The available aggregate result establishes the overlap but does not establish the underlying cause. The raw per-query ID lists are not included in the supplied archive, so no specific tie, rounding event or ranking change is claimed, and this historical Stage 2 unindexed result is kept separate from the final Stage 4 HNSW results.</w:t>
      </w:r>
    </w:p>
    <w:p>
      <w:pPr>
        <w:keepNext/>
        <w:spacing w:before="88" w:after="36"/>
      </w:pPr>
      <w:r>
        <w:rPr>
          <w:rFonts w:ascii="Calibri" w:hAnsi="Calibri"/>
          <w:b/>
          <w:color w:val="21295C"/>
          <w:sz w:val="26"/>
        </w:rPr>
        <w:t>Q13. Why did PostgreSQL's query planner select HNSW Index Scan for FP32 at 1,001 chunks, but selected Seq Scan for FP16 at 1,001 chunks before switching to Index Scan at 5,000 chunks?</w:t>
      </w:r>
    </w:p>
    <w:p>
      <w:pPr>
        <w:keepNext w:val="0"/>
        <w:keepLines/>
        <w:spacing w:before="10" w:after="36" w:line="259" w:lineRule="auto"/>
      </w:pPr>
      <w:r>
        <w:rPr>
          <w:rFonts w:ascii="Calibri" w:hAnsi="Calibri"/>
          <w:b/>
          <w:color w:val="006D5B"/>
          <w:sz w:val="22"/>
        </w:rPr>
        <w:t xml:space="preserve">Answer: </w:t>
      </w:r>
      <w:r>
        <w:rPr>
          <w:rFonts w:ascii="Calibri" w:hAnsi="Calibri"/>
          <w:color w:val="1A2433"/>
          <w:sz w:val="22"/>
        </w:rPr>
        <w:t>At 1,001 chunks, the recorded plan shows that PostgreSQL selected HNSW Index Scan for FP32 and Seq Scan for FP16. FP32 had a much smaller main heap because its vectors were stored out-of-line in TOAST, while FP16 vectors remained inline. However, the unforced Stage 3 alternative-plan costs for FP32 were not recorded, so the exact reason for the FP32 plan choice cannot be established from the available artifacts. For FP16, the recorded Seq Scan plus Sort cost was 235.17 at 1,001 chunks; the alternative HNSW cost was not recorded. At 5,000 chunks, the recorded FP16 Index Scan + Limit cost of 529.00 was lower than the Seq Scan + Sort cost of 1170.57. At 10,000 chunks, the FP16 Index Scan remained the selected access path.</w:t>
      </w:r>
    </w:p>
    <w:p>
      <w:pPr>
        <w:keepNext/>
        <w:spacing w:before="88" w:after="36"/>
      </w:pPr>
      <w:r>
        <w:rPr>
          <w:rFonts w:ascii="Calibri" w:hAnsi="Calibri"/>
          <w:b/>
          <w:color w:val="21295C"/>
          <w:sz w:val="26"/>
        </w:rPr>
        <w:t>Q14. What changed between Stage 3 and Stage 4 v2 timing boundaries, and what was fixed between Stage 4 v1 and Stage 4 v2?</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First, between Stage 3 (1,001 chunks) and Stage 4 v2 (5,000 and 10,000 chunks), Stage 3 timed a full per-trial session transaction and GUC configuration block (BEGIN; SET LOCAL ...; SELECT ...; COMMIT;), whereas Stage 4 v2 moved all session GUC statements (SET enable_seqscan, SET hnsw.ef_search) outside the timed loop so time.perf_counter() measured strictly cur.execute() and cur.fetchall(). Second, within Stage 4, the initial Stage 4 v1 exact-search SQL repeated the distance expression (embedding &lt;=&gt; %s) in both SELECT and ORDER BY while also executing SET GUCs inside the timer; this duplicated distance-expression work may have caused repeated computation or datum processing (recording 76.765 ms at 5k and 157.901 ms at 10k), though no profiling established the exact number of detoast operations. Stage 4 v2 uses the projected distance alias (ORDER BY distance ASC) while moving GUC setup outside the timer, yielding the verified 42.285 ms (5k) and 89.004 ms (10k) FP32 exact latencies.</w:t>
      </w:r>
    </w:p>
    <w:p>
      <w:pPr>
        <w:keepNext/>
        <w:spacing w:before="88" w:after="36"/>
      </w:pPr>
      <w:r>
        <w:rPr>
          <w:rFonts w:ascii="Calibri" w:hAnsi="Calibri"/>
          <w:b/>
          <w:color w:val="21295C"/>
          <w:sz w:val="26"/>
        </w:rPr>
        <w:t>Q15. Why did you not implement Product Quantization (PQ), Scalar Quantization (SQ), or Anisotropic Quantization in your PostgreSQL benchmark?</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Learned codebook methods like Product Quantization (Jégou et al., 2011 [7]) and anisotropic vector quantization (Guo et al., 2020 [8]) require offline clustering/codebook training on a representative sample, custom lookup-table distance estimators, and potential codebook recalibration if incoming data shifts away from the training distribution. In contrast, pgvector 0.8.4 natively provides IEEE 754 16-bit half-precision coordinate quantization (halfvec(768)) with C-level cosine distance operators (halfvec_cosine_ops) and native HNSW indexing. Evaluating halfvec(768) allowed us to test a zero-training, deterministic SQL representation change inside standard PostgreSQL while reviewing PQ, SQ, and anisotropic quantization as foundational compression literature.</w:t>
      </w:r>
    </w:p>
    <w:p>
      <w:pPr>
        <w:keepNext/>
        <w:spacing w:before="88" w:after="36"/>
      </w:pPr>
      <w:r>
        <w:rPr>
          <w:rFonts w:ascii="Calibri" w:hAnsi="Calibri"/>
          <w:b/>
          <w:color w:val="21295C"/>
          <w:sz w:val="26"/>
        </w:rPr>
        <w:t>Q16. Why did you not evaluate end-to-end LLM answer generation quality or human relevance judgments (MS MARCO qrels)?</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Our project was scoped specifically as a Database Systems Lab (BCSE302P) investigation into PostgreSQL physical storage layout, TOAST behaviour, shared-buffer accesses, query planner cost modeling, and pgvector HNSW indexing. Introducing an end-to-end LLM generator (such as Qwen) would mix retrieval-layer storage effects with prompt formatting, context truncation, and LLM decoding variance. Similarly, our Recall@K metric measures whether FP16 HNSW retrieves the same top-K vectors as uncompressed FP32 exact search for nomic-embed-text embeddings, isolating coordinate-precision fidelity from embedding-model semantic quality. Connecting the retriever to official MS MARCO qrels (MRR@10, nDCG@10) and an LLM generator is identified as Future Work.</w:t>
      </w:r>
    </w:p>
    <w:p>
      <w:pPr>
        <w:keepNext/>
        <w:spacing w:before="88" w:after="36"/>
      </w:pPr>
      <w:r>
        <w:rPr>
          <w:rFonts w:ascii="Calibri" w:hAnsi="Calibri"/>
          <w:b/>
          <w:color w:val="21295C"/>
          <w:sz w:val="26"/>
        </w:rPr>
        <w:t>Q17. Would halfvec still eliminate out-of-line TOAST storage if you used a 1,536-dimensional or 3,072-dimensional embedding model?</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Not under PostgreSQL's default ≈2 KiB TOAST threshold. For a 1,536-dimensional embedding (such as text-embedding-3-small), even a 16-bit halfvec(1536) datum occupies 2(1536) + 8 = 3,080 bytes, which exceeds the ≈2 KiB TOAST_TUPLE_THRESHOLD and would once again be subject to out-of-line TOAST eviction unless the column storage strategy is altered (e.g., ALTER TABLE ... SET STORAGE MAIN, which leaves fewer than 3 tuples per 8 KiB page) or stronger compression (such as 8-bit scalar quantization or binary quantization bit(1536)) is used. That is why our TOAST-elimination result is stated specifically for 768-dimensional vectors (1,544 B &lt; ≈2 KiB).</w:t>
      </w:r>
    </w:p>
    <w:p>
      <w:pPr>
        <w:keepNext/>
        <w:spacing w:before="88" w:after="36"/>
      </w:pPr>
      <w:r>
        <w:rPr>
          <w:rFonts w:ascii="Calibri" w:hAnsi="Calibri"/>
          <w:b/>
          <w:color w:val="21295C"/>
          <w:sz w:val="26"/>
        </w:rPr>
        <w:t>Q18. How did you ensure that benchmark runs on one scale did not corrupt or alter the baseline or other project databases?</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We implemented a five-database isolation architecture enforced by fail-closed Python guards in src/database.py and src/scale_experiment.py: (1) compression_aware_rag (180-chunk Review 2 baseline, untouched in Stages 1–4); (2) smart_document_chatbot (external course DB, untouched); (3) compression_aware_rag_exp (1,001-chunk Stages 1–3 DB, opened strictly with conn.read_only = True when Stage 4 reuses its first 1,001 verified embeddings after checking 1,001/1,001 SHA-256 text hashes); (4) compression_aware_rag_scale (5,000- and 10,000-chunk Stage 4 DB, guarded by assert_scale_mutation_db); and (5) compression_aware_rag_test (ephemeral test DB where the project test suite passes 43/43 pytest tests across the implemented modules).</w:t>
      </w:r>
    </w:p>
    <w:p>
      <w:pPr>
        <w:keepNext/>
        <w:spacing w:before="88" w:after="36"/>
      </w:pPr>
      <w:r>
        <w:rPr>
          <w:rFonts w:ascii="Calibri" w:hAnsi="Calibri"/>
          <w:b/>
          <w:color w:val="21295C"/>
          <w:sz w:val="26"/>
        </w:rPr>
        <w:t>Q19. What is the status of the patent or publication mentioned in Appendix B of the report?</w:t>
      </w:r>
    </w:p>
    <w:p>
      <w:pPr>
        <w:keepNext w:val="0"/>
        <w:spacing w:before="10" w:after="36" w:line="259" w:lineRule="auto"/>
      </w:pPr>
      <w:r>
        <w:rPr>
          <w:rFonts w:ascii="Calibri" w:hAnsi="Calibri"/>
          <w:b/>
          <w:color w:val="006D5B"/>
          <w:sz w:val="22"/>
        </w:rPr>
        <w:t xml:space="preserve">Answer: </w:t>
      </w:r>
      <w:r>
        <w:rPr>
          <w:rFonts w:ascii="Calibri" w:hAnsi="Calibri"/>
          <w:color w:val="1A2433"/>
          <w:sz w:val="22"/>
        </w:rPr>
        <w:t>As documented in Appendix B of the consolidated report, a project-related Invention Disclosure Form (IDF) has been submitted through the institutional process. At the time of report preparation, confirmation and filing details for a formal patent application were not available in the project archive, so submission of the IDF is reported strictly as an invention-disclosure outcome rather than a filed or granted patent.</w:t>
      </w:r>
    </w:p>
    <w:p>
      <w:pPr>
        <w:keepNext/>
        <w:spacing w:before="220" w:after="80"/>
        <w:pBdr>
          <w:bottom w:val="single" w:sz="12" w:space="4" w:color="065A82"/>
        </w:pBdr>
      </w:pPr>
      <w:r>
        <w:rPr>
          <w:rFonts w:ascii="Calibri" w:hAnsi="Calibri"/>
          <w:b/>
          <w:color w:val="21295C"/>
          <w:sz w:val="32"/>
        </w:rPr>
        <w:t>4. Quick-Reference Numeric &amp; Source Discrepancy Audit Sheet</w:t>
      </w:r>
    </w:p>
    <w:p>
      <w:pPr>
        <w:keepNext w:val="0"/>
        <w:spacing w:before="10" w:after="80" w:line="259" w:lineRule="auto"/>
      </w:pPr>
      <w:r>
        <w:rPr>
          <w:rFonts w:ascii="Calibri" w:hAnsi="Calibri"/>
          <w:b/>
          <w:color w:val="21295C"/>
          <w:sz w:val="22"/>
        </w:rPr>
        <w:t xml:space="preserve">How to Use This Table: </w:t>
      </w:r>
      <w:r>
        <w:rPr>
          <w:rFonts w:ascii="Calibri" w:hAnsi="Calibri"/>
          <w:color w:val="1A2433"/>
          <w:sz w:val="22"/>
        </w:rPr>
        <w:t>Keep this reference table handy during the viva so either team member can cite exact verified numbers and explain any minor rounding or source-archive discrepancies immediately.</w:t>
      </w:r>
    </w:p>
    <w:tbl>
      <w:tblPr>
        <w:tblW w:type="auto" w:w="0"/>
        <w:jc w:val="center"/>
        <w:tblLook w:firstColumn="1" w:firstRow="1" w:lastColumn="0" w:lastRow="0" w:noHBand="0" w:noVBand="1" w:val="04A0"/>
        <w:tblBorders>
          <w:top w:val="single" w:sz="6" w:space="0" w:color="CBD5E1"/>
          <w:bottom w:val="single" w:sz="8" w:space="0" w:color="CBD5E1"/>
          <w:left w:val="single" w:sz="4" w:space="0" w:color="CBD5E1"/>
          <w:right w:val="single" w:sz="4" w:space="0" w:color="CBD5E1"/>
          <w:insideH w:val="single" w:sz="4" w:space="0" w:color="CBD5E1"/>
          <w:insideV w:val="single" w:sz="4" w:space="0" w:color="CBD5E1"/>
        </w:tblBorders>
      </w:tblPr>
      <w:tblGrid>
        <w:gridCol w:w="3235"/>
        <w:gridCol w:w="3235"/>
        <w:gridCol w:w="3235"/>
      </w:tblGrid>
      <w:tr>
        <w:trPr>
          <w:tblHeader/>
          <w:cantSplit/>
        </w:trPr>
        <w:tc>
          <w:tcPr>
            <w:tcW w:type="dxa" w:w="2232"/>
            <w:shd w:fill="21295C"/>
            <w:tcMar>
              <w:top w:w="40" w:type="dxa"/>
              <w:bottom w:w="40" w:type="dxa"/>
              <w:left w:w="115" w:type="dxa"/>
              <w:right w:w="115" w:type="dxa"/>
            </w:tcMar>
            <w:vAlign w:val="center"/>
          </w:tcPr>
          <w:p>
            <w:pPr>
              <w:spacing w:before="0" w:after="0"/>
            </w:pPr>
            <w:r>
              <w:rPr>
                <w:rFonts w:ascii="Calibri" w:hAnsi="Calibri"/>
                <w:b/>
                <w:color w:val="FFFFFF"/>
                <w:sz w:val="21"/>
              </w:rPr>
              <w:t>Metric / Topic</w:t>
            </w:r>
          </w:p>
        </w:tc>
        <w:tc>
          <w:tcPr>
            <w:tcW w:type="dxa" w:w="3672"/>
            <w:shd w:fill="21295C"/>
            <w:tcMar>
              <w:top w:w="40" w:type="dxa"/>
              <w:bottom w:w="40" w:type="dxa"/>
              <w:left w:w="115" w:type="dxa"/>
              <w:right w:w="115" w:type="dxa"/>
            </w:tcMar>
            <w:vAlign w:val="center"/>
          </w:tcPr>
          <w:p>
            <w:pPr>
              <w:spacing w:before="0" w:after="0"/>
            </w:pPr>
            <w:r>
              <w:rPr>
                <w:rFonts w:ascii="Calibri" w:hAnsi="Calibri"/>
                <w:b/>
                <w:color w:val="FFFFFF"/>
                <w:sz w:val="21"/>
              </w:rPr>
              <w:t>Verified Values (Report &amp; CSVs)</w:t>
            </w:r>
          </w:p>
        </w:tc>
        <w:tc>
          <w:tcPr>
            <w:tcW w:type="dxa" w:w="3859"/>
            <w:shd w:fill="21295C"/>
            <w:tcMar>
              <w:top w:w="40" w:type="dxa"/>
              <w:bottom w:w="40" w:type="dxa"/>
              <w:left w:w="115" w:type="dxa"/>
              <w:right w:w="115" w:type="dxa"/>
            </w:tcMar>
            <w:vAlign w:val="center"/>
          </w:tcPr>
          <w:p>
            <w:pPr>
              <w:spacing w:before="0" w:after="0"/>
            </w:pPr>
            <w:r>
              <w:rPr>
                <w:rFonts w:ascii="Calibri" w:hAnsi="Calibri"/>
                <w:b/>
                <w:color w:val="FFFFFF"/>
                <w:sz w:val="21"/>
              </w:rPr>
              <w:t>Critical Qualification / Discrepancy Note</w:t>
            </w:r>
          </w:p>
        </w:tc>
      </w:tr>
      <w:tr>
        <w:trPr>
          <w:cantSplit/>
        </w:trPr>
        <w:tc>
          <w:tcPr>
            <w:tcW w:type="dxa" w:w="2232"/>
            <w:shd w:fill="FFFFFF"/>
            <w:tcMar>
              <w:top w:w="30" w:type="dxa"/>
              <w:bottom w:w="30" w:type="dxa"/>
              <w:left w:w="115" w:type="dxa"/>
              <w:right w:w="115" w:type="dxa"/>
            </w:tcMar>
            <w:vAlign w:val="center"/>
          </w:tcPr>
          <w:p>
            <w:pPr>
              <w:spacing w:before="0" w:after="0" w:line="259" w:lineRule="auto"/>
            </w:pPr>
            <w:r>
              <w:rPr>
                <w:rFonts w:ascii="Calibri" w:hAnsi="Calibri"/>
                <w:b/>
                <w:color w:val="21295C"/>
                <w:sz w:val="20"/>
              </w:rPr>
              <w:t>768-D Datum Footprint</w:t>
            </w:r>
          </w:p>
        </w:tc>
        <w:tc>
          <w:tcPr>
            <w:tcW w:type="dxa" w:w="3672"/>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FP32: 3,076 B empirical (3,080 B formula 4d+8)</w:t>
              <w:br/>
              <w:t>FP16: 1,544 B empirical &amp; formula (2d+8)</w:t>
            </w:r>
          </w:p>
        </w:tc>
        <w:tc>
          <w:tcPr>
            <w:tcW w:type="dxa" w:w="3859"/>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49.80% empirical reduction (49.87% by formula). Both values preserved; 4-byte difference remains unresolved in available evidence.</w:t>
            </w:r>
          </w:p>
        </w:tc>
      </w:tr>
      <w:tr>
        <w:trPr>
          <w:cantSplit/>
        </w:trPr>
        <w:tc>
          <w:tcPr>
            <w:tcW w:type="dxa" w:w="2232"/>
            <w:shd w:fill="F4F7F9"/>
            <w:tcMar>
              <w:top w:w="30" w:type="dxa"/>
              <w:bottom w:w="30" w:type="dxa"/>
              <w:left w:w="115" w:type="dxa"/>
              <w:right w:w="115" w:type="dxa"/>
            </w:tcMar>
            <w:vAlign w:val="center"/>
          </w:tcPr>
          <w:p>
            <w:pPr>
              <w:spacing w:before="0" w:after="0" w:line="259" w:lineRule="auto"/>
            </w:pPr>
            <w:r>
              <w:rPr>
                <w:rFonts w:ascii="Calibri" w:hAnsi="Calibri"/>
                <w:b/>
                <w:color w:val="21295C"/>
                <w:sz w:val="20"/>
              </w:rPr>
              <w:t>Pre-HNSW Base Relation Size</w:t>
            </w:r>
          </w:p>
        </w:tc>
        <w:tc>
          <w:tcPr>
            <w:tcW w:type="dxa" w:w="3672"/>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1,001c: 4.13 MiB -&gt; 1.65 MiB (60.11% lower)</w:t>
              <w:br/>
              <w:t>5,000c: 20.20 MiB -&gt; 7.98 MiB (60.52% lower)</w:t>
              <w:br/>
              <w:t>10,000c: 40.31 MiB -&gt; 15.90 MiB (60.56% lower)</w:t>
            </w:r>
          </w:p>
        </w:tc>
        <w:tc>
          <w:tcPr>
            <w:tcW w:type="dxa" w:w="3859"/>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FP16 reduces out-of-line TOAST data payloads to 0 B at all scales (empty 8 KiB TOAST index shell remains).</w:t>
            </w:r>
          </w:p>
        </w:tc>
      </w:tr>
      <w:tr>
        <w:trPr>
          <w:cantSplit/>
        </w:trPr>
        <w:tc>
          <w:tcPr>
            <w:tcW w:type="dxa" w:w="2232"/>
            <w:shd w:fill="FFFFFF"/>
            <w:tcMar>
              <w:top w:w="30" w:type="dxa"/>
              <w:bottom w:w="30" w:type="dxa"/>
              <w:left w:w="115" w:type="dxa"/>
              <w:right w:w="115" w:type="dxa"/>
            </w:tcMar>
            <w:vAlign w:val="center"/>
          </w:tcPr>
          <w:p>
            <w:pPr>
              <w:spacing w:before="0" w:after="0" w:line="259" w:lineRule="auto"/>
            </w:pPr>
            <w:r>
              <w:rPr>
                <w:rFonts w:ascii="Calibri" w:hAnsi="Calibri"/>
                <w:b/>
                <w:color w:val="21295C"/>
                <w:sz w:val="20"/>
              </w:rPr>
              <w:t>Post-Index Inclusive Size</w:t>
            </w:r>
          </w:p>
        </w:tc>
        <w:tc>
          <w:tcPr>
            <w:tcW w:type="dxa" w:w="3672"/>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1,001c: Not recorded in Stage 3</w:t>
              <w:br/>
              <w:t>5,000c: 39.6797 -&gt; 17.7188 MiB (55.35% lower)</w:t>
              <w:br/>
              <w:t>10,000c: 79.2031 -&gt; 35.3516 MiB (55.37% lower)</w:t>
            </w:r>
          </w:p>
        </w:tc>
        <w:tc>
          <w:tcPr>
            <w:tcW w:type="dxa" w:w="3859"/>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Reconciled to the exact byte in Stage 4 via _fsm and _vm auxiliary forks. Do not invent a 1,001c inclusive total.</w:t>
            </w:r>
          </w:p>
        </w:tc>
      </w:tr>
      <w:tr>
        <w:trPr>
          <w:cantSplit/>
        </w:trPr>
        <w:tc>
          <w:tcPr>
            <w:tcW w:type="dxa" w:w="2232"/>
            <w:shd w:fill="F4F7F9"/>
            <w:tcMar>
              <w:top w:w="30" w:type="dxa"/>
              <w:bottom w:w="30" w:type="dxa"/>
              <w:left w:w="115" w:type="dxa"/>
              <w:right w:w="115" w:type="dxa"/>
            </w:tcMar>
            <w:vAlign w:val="center"/>
          </w:tcPr>
          <w:p>
            <w:pPr>
              <w:spacing w:before="0" w:after="0" w:line="259" w:lineRule="auto"/>
            </w:pPr>
            <w:r>
              <w:rPr>
                <w:rFonts w:ascii="Calibri" w:hAnsi="Calibri"/>
                <w:b/>
                <w:color w:val="21295C"/>
                <w:sz w:val="20"/>
              </w:rPr>
              <w:t>HNSW Index Size &amp; Build Time</w:t>
            </w:r>
          </w:p>
        </w:tc>
        <w:tc>
          <w:tcPr>
            <w:tcW w:type="dxa" w:w="3672"/>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Size: 49.90% lower (1k), 49.98% lower (5k &amp; 10k)</w:t>
              <w:br/>
              <w:t>Build: 0.2334s vs 0.1606s (1k); 1.4615s vs 1.2640s (5k); 3.7617s vs 2.6411s (10k)</w:t>
            </w:r>
          </w:p>
        </w:tc>
        <w:tc>
          <w:tcPr>
            <w:tcW w:type="dxa" w:w="3859"/>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Matched HNSW build parameters (m=16, ef_c=64) do not imply identical graph topologies; build times are single-run observations (1k: 31.18% in Stage 3 text vs 31.19% rounded).</w:t>
            </w:r>
          </w:p>
        </w:tc>
      </w:tr>
      <w:tr>
        <w:trPr>
          <w:cantSplit/>
        </w:trPr>
        <w:tc>
          <w:tcPr>
            <w:tcW w:type="dxa" w:w="2232"/>
            <w:shd w:fill="FFFFFF"/>
            <w:tcMar>
              <w:top w:w="30" w:type="dxa"/>
              <w:bottom w:w="30" w:type="dxa"/>
              <w:left w:w="115" w:type="dxa"/>
              <w:right w:w="115" w:type="dxa"/>
            </w:tcMar>
            <w:vAlign w:val="center"/>
          </w:tcPr>
          <w:p>
            <w:pPr>
              <w:spacing w:before="0" w:after="0" w:line="259" w:lineRule="auto"/>
            </w:pPr>
            <w:r>
              <w:rPr>
                <w:rFonts w:ascii="Calibri" w:hAnsi="Calibri"/>
                <w:b/>
                <w:color w:val="21295C"/>
                <w:sz w:val="20"/>
              </w:rPr>
              <w:t>Stage 4 v2 Exact Latency</w:t>
            </w:r>
          </w:p>
        </w:tc>
        <w:tc>
          <w:tcPr>
            <w:tcW w:type="dxa" w:w="3672"/>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5,000c: 42.285 -&gt; 6.802 ms mean (6.22x); 44.694 -&gt; 6.277 ms median (7.12x)</w:t>
              <w:br/>
              <w:t>10,000c: 89.004 -&gt; 12.301 ms mean (7.24x); 92.664 -&gt; 11.541 ms median (8.03x)</w:t>
            </w:r>
          </w:p>
        </w:tc>
        <w:tc>
          <w:tcPr>
            <w:tcW w:type="dxa" w:w="3859"/>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100 timed trials/config (20 fixed queries x 5 passes, LIMIT 10, GUCs outside timer). Supersedes Stage 4 v1 duplicated distance-expression timings.</w:t>
            </w:r>
          </w:p>
        </w:tc>
      </w:tr>
      <w:tr>
        <w:trPr>
          <w:cantSplit/>
        </w:trPr>
        <w:tc>
          <w:tcPr>
            <w:tcW w:type="dxa" w:w="2232"/>
            <w:shd w:fill="F4F7F9"/>
            <w:tcMar>
              <w:top w:w="30" w:type="dxa"/>
              <w:bottom w:w="30" w:type="dxa"/>
              <w:left w:w="115" w:type="dxa"/>
              <w:right w:w="115" w:type="dxa"/>
            </w:tcMar>
            <w:vAlign w:val="center"/>
          </w:tcPr>
          <w:p>
            <w:pPr>
              <w:spacing w:before="0" w:after="0" w:line="259" w:lineRule="auto"/>
            </w:pPr>
            <w:r>
              <w:rPr>
                <w:rFonts w:ascii="Calibri" w:hAnsi="Calibri"/>
                <w:b/>
                <w:color w:val="21295C"/>
                <w:sz w:val="20"/>
              </w:rPr>
              <w:t>Stage 4 v2 Forced-HNSW Latency</w:t>
            </w:r>
          </w:p>
        </w:tc>
        <w:tc>
          <w:tcPr>
            <w:tcW w:type="dxa" w:w="3672"/>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5,000c: 4.129 ms (FP32) vs 3.372 ms (FP16) mean</w:t>
              <w:br/>
              <w:t>10,000c: 3.674 ms (FP32) vs 3.856 ms (FP16) mean</w:t>
            </w:r>
          </w:p>
        </w:tc>
        <w:tc>
          <w:tcPr>
            <w:tcW w:type="dxa" w:w="3859"/>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Broadly similar mean latency; Q0 shared read = 0 and standalone HNSW sizes (38.89 / 19.45 MiB) within 128 MB shared_buffers are consistent with warm-cache behaviour without proving full residency. At 10k, FP16 was +4.95% mean / +11.86% CSV (+11.84% prose) median.</w:t>
            </w:r>
          </w:p>
        </w:tc>
      </w:tr>
      <w:tr>
        <w:trPr>
          <w:cantSplit/>
        </w:trPr>
        <w:tc>
          <w:tcPr>
            <w:tcW w:type="dxa" w:w="2232"/>
            <w:shd w:fill="FFFFFF"/>
            <w:tcMar>
              <w:top w:w="30" w:type="dxa"/>
              <w:bottom w:w="30" w:type="dxa"/>
              <w:left w:w="115" w:type="dxa"/>
              <w:right w:w="115" w:type="dxa"/>
            </w:tcMar>
            <w:vAlign w:val="center"/>
          </w:tcPr>
          <w:p>
            <w:pPr>
              <w:spacing w:before="0" w:after="0" w:line="259" w:lineRule="auto"/>
            </w:pPr>
            <w:r>
              <w:rPr>
                <w:rFonts w:ascii="Calibri" w:hAnsi="Calibri"/>
                <w:b/>
                <w:color w:val="21295C"/>
                <w:sz w:val="20"/>
              </w:rPr>
              <w:t>Recall@K &amp; Agreement@K</w:t>
            </w:r>
          </w:p>
        </w:tc>
        <w:tc>
          <w:tcPr>
            <w:tcW w:type="dxa" w:w="3672"/>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Recall@10 (FP16 HNSW): 0.9600 (5k &amp; 10k)</w:t>
              <w:br/>
              <w:t>Agreement@10: 1.0000 (1k), 0.9850 (5k), 0.9500 (10k)</w:t>
            </w:r>
          </w:p>
        </w:tc>
        <w:tc>
          <w:tcPr>
            <w:tcW w:type="dxa" w:w="3859"/>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Evaluated via separate top-K set-overlap queries with denominator K (not Jaccard, not human qrels, not LLM answer quality); 10k FP16 Recall@3=0.9500, Recall@5=0.9400.</w:t>
            </w:r>
          </w:p>
        </w:tc>
      </w:tr>
      <w:tr>
        <w:trPr>
          <w:cantSplit/>
        </w:trPr>
        <w:tc>
          <w:tcPr>
            <w:tcW w:type="dxa" w:w="2232"/>
            <w:shd w:fill="F4F7F9"/>
            <w:tcMar>
              <w:top w:w="30" w:type="dxa"/>
              <w:bottom w:w="30" w:type="dxa"/>
              <w:left w:w="115" w:type="dxa"/>
              <w:right w:w="115" w:type="dxa"/>
            </w:tcMar>
            <w:vAlign w:val="center"/>
          </w:tcPr>
          <w:p>
            <w:pPr>
              <w:spacing w:before="0" w:after="0" w:line="259" w:lineRule="auto"/>
            </w:pPr>
            <w:r>
              <w:rPr>
                <w:rFonts w:ascii="Calibri" w:hAnsi="Calibri"/>
                <w:b/>
                <w:color w:val="21295C"/>
                <w:sz w:val="20"/>
              </w:rPr>
              <w:t>Q0 Shared-Buffer Hits</w:t>
            </w:r>
          </w:p>
        </w:tc>
        <w:tc>
          <w:tcPr>
            <w:tcW w:type="dxa" w:w="3672"/>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Exact: 3,010-&gt;201 (1k, 93.32% fewer, 14.98× ratio); 15,032-&gt;1,000 (5k, 93.35% fewer, 15.03× ratio); 30,064-&gt;2,000 (10k, 93.35% fewer, 15.03× ratio)</w:t>
              <w:br/>
              <w:t>Forced HNSW: 595-&gt;514 (1k, 13.61% fewer); 830-&gt;753 (5k, 9.28% fewer); 930-&gt;847 (10k, 8.92% fewer)</w:t>
            </w:r>
          </w:p>
        </w:tc>
        <w:tc>
          <w:tcPr>
            <w:tcW w:type="dxa" w:w="3859"/>
            <w:shd w:fill="F4F7F9"/>
            <w:tcMar>
              <w:top w:w="30" w:type="dxa"/>
              <w:bottom w:w="30" w:type="dxa"/>
              <w:left w:w="115" w:type="dxa"/>
              <w:right w:w="115" w:type="dxa"/>
            </w:tcMar>
            <w:vAlign w:val="center"/>
          </w:tcPr>
          <w:p>
            <w:pPr>
              <w:spacing w:before="0" w:after="0" w:line="259" w:lineRule="auto"/>
            </w:pPr>
            <w:r>
              <w:rPr>
                <w:rFonts w:ascii="Calibri" w:hAnsi="Calibri"/>
                <w:b w:val="0"/>
                <w:color w:val="1A2433"/>
                <w:sz w:val="20"/>
              </w:rPr>
              <w:t>1k rows from Stage 2/3 report samples (not established as Q0); 5k/10k Q0 rows from chart2_q0_diagnostics.csv. Single-query observation (shared read = 0, page touches not unique nodes or disk I/O).</w:t>
            </w:r>
          </w:p>
        </w:tc>
      </w:tr>
      <w:tr>
        <w:trPr>
          <w:cantSplit/>
        </w:trPr>
        <w:tc>
          <w:tcPr>
            <w:tcW w:type="dxa" w:w="2232"/>
            <w:shd w:fill="FFFFFF"/>
            <w:tcMar>
              <w:top w:w="30" w:type="dxa"/>
              <w:bottom w:w="30" w:type="dxa"/>
              <w:left w:w="115" w:type="dxa"/>
              <w:right w:w="115" w:type="dxa"/>
            </w:tcMar>
            <w:vAlign w:val="center"/>
          </w:tcPr>
          <w:p>
            <w:pPr>
              <w:spacing w:before="0" w:after="0" w:line="259" w:lineRule="auto"/>
            </w:pPr>
            <w:r>
              <w:rPr>
                <w:rFonts w:ascii="Calibri" w:hAnsi="Calibri"/>
                <w:b/>
                <w:color w:val="21295C"/>
                <w:sz w:val="20"/>
              </w:rPr>
              <w:t>Software Version Notes</w:t>
            </w:r>
          </w:p>
        </w:tc>
        <w:tc>
          <w:tcPr>
            <w:tcW w:type="dxa" w:w="3672"/>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PostgreSQL 18.4, pgvector 0.8.4, Python 3.13.x (3.13.14 / 3.13.2), work_mem = 4 MB, maintenance_work_mem = 64 MB</w:t>
            </w:r>
          </w:p>
        </w:tc>
        <w:tc>
          <w:tcPr>
            <w:tcW w:type="dxa" w:w="3859"/>
            <w:shd w:fill="FFFFFF"/>
            <w:tcMar>
              <w:top w:w="30" w:type="dxa"/>
              <w:bottom w:w="30" w:type="dxa"/>
              <w:left w:w="115" w:type="dxa"/>
              <w:right w:w="115" w:type="dxa"/>
            </w:tcMar>
            <w:vAlign w:val="center"/>
          </w:tcPr>
          <w:p>
            <w:pPr>
              <w:spacing w:before="0" w:after="0" w:line="259" w:lineRule="auto"/>
            </w:pPr>
            <w:r>
              <w:rPr>
                <w:rFonts w:ascii="Calibri" w:hAnsi="Calibri"/>
                <w:b w:val="0"/>
                <w:color w:val="1A2433"/>
                <w:sz w:val="20"/>
              </w:rPr>
              <w:t>Older README/handoff files list PG 18.0, pgvector 0.5.0 badge, work_mem = 64 MB, and differ on Ollama version (0.4.7 vs 0.32.13 in Review 2).</w:t>
            </w:r>
          </w:p>
        </w:tc>
      </w:tr>
    </w:tbl>
    <w:sectPr w:rsidR="00FC693F" w:rsidRPr="0006063C" w:rsidSect="00034616">
      <w:footerReference w:type="default" r:id="rId9"/>
      <w:pgSz w:w="12240" w:h="15840"/>
      <w:pgMar w:top="1152" w:right="1267" w:bottom="1152"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A5568"/>
        <w:sz w:val="19"/>
      </w:rPr>
      <w:t xml:space="preserve">BCSE302P — Final Review 3 Viva &amp; Speaker Notes (Yash Pradhan &amp; Anjini Pandey)   |   Page </w:t>
    </w:r>
    <w:r>
      <w:rPr>
        <w:rFonts w:ascii="Calibri" w:hAnsi="Calibri"/>
        <w:color w:val="4A5568"/>
        <w:sz w:val="19"/>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