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DIGITAL OPERATIONS AGREEMENT</w:t>
      </w:r>
    </w:p>
    <w:p>
      <w:pPr>
        <w:spacing w:after="120"/>
        <w:jc w:val="center"/>
      </w:pPr>
      <w:r>
        <w:rPr>
          <w:rFonts w:ascii="Arial" w:cs="Arial" w:eastAsia="Arial" w:hAnsi="Arial"/>
          <w:i/>
          <w:iCs/>
          <w:color w:val="555555"/>
          <w:sz w:val="22"/>
          <w:szCs w:val="22"/>
        </w:rPr>
        <w:t xml:space="preserve">Glass City Trailer Rentals LLC — Digital Services Partnership</w:t>
      </w:r>
    </w:p>
    <w:p>
      <w:pPr>
        <w:pBdr>
          <w:bottom w:val="single" w:color="2ECC40" w:sz="12" w:space="1"/>
        </w:pBdr>
        <w:spacing w:after="200"/>
      </w:pPr>
      <w:r>
        <w:t xml:space="preserve"/>
      </w:r>
    </w:p>
    <w:p>
      <w:pPr>
        <w:spacing w:after="160"/>
      </w:pPr>
      <w:r>
        <w:rPr>
          <w:rFonts w:ascii="Arial" w:cs="Arial" w:eastAsia="Arial" w:hAnsi="Arial"/>
        </w:rPr>
        <w:t xml:space="preserve">This Digital Operations Agreement (the "Agreement") is entered into as of </w:t>
      </w:r>
      <w:r>
        <w:rPr>
          <w:rFonts w:ascii="Arial" w:cs="Arial" w:eastAsia="Arial" w:hAnsi="Arial"/>
          <w:b/>
          <w:bCs/>
        </w:rPr>
        <w:t xml:space="preserve">[EFFECTIVE DATE]</w:t>
      </w:r>
      <w:r>
        <w:rPr>
          <w:rFonts w:ascii="Arial" w:cs="Arial" w:eastAsia="Arial" w:hAnsi="Arial"/>
        </w:rPr>
        <w:t xml:space="preserve"> by and between:</w:t>
      </w:r>
    </w:p>
    <w:p>
      <w:pPr>
        <w:spacing w:after="160"/>
      </w:pPr>
      <w:r>
        <w:rPr>
          <w:rFonts w:ascii="Arial" w:cs="Arial" w:eastAsia="Arial" w:hAnsi="Arial"/>
          <w:b/>
          <w:bCs/>
        </w:rPr>
        <w:t xml:space="preserve">OPERATOR: </w:t>
      </w:r>
      <w:r>
        <w:rPr>
          <w:rFonts w:ascii="Arial" w:cs="Arial" w:eastAsia="Arial" w:hAnsi="Arial"/>
        </w:rPr>
        <w:t xml:space="preserve">[YOUR LEGAL NAME OR LLC NAME], located at [YOUR ADDRESS] ("Operator"); and</w:t>
      </w:r>
    </w:p>
    <w:p>
      <w:pPr>
        <w:spacing w:after="160"/>
      </w:pPr>
      <w:r>
        <w:rPr>
          <w:rFonts w:ascii="Arial" w:cs="Arial" w:eastAsia="Arial" w:hAnsi="Arial"/>
          <w:b/>
          <w:bCs/>
        </w:rPr>
        <w:t xml:space="preserve">COMPANY: </w:t>
      </w:r>
      <w:r>
        <w:rPr>
          <w:rFonts w:ascii="Arial" w:cs="Arial" w:eastAsia="Arial" w:hAnsi="Arial"/>
        </w:rPr>
        <w:t xml:space="preserve">Glass City Trailer Rentals LLC, Ohio LLC #[ENTITY NUMBER], located at 2004 Front Street, Toledo, Ohio 43605 ("Company").</w:t>
      </w:r>
    </w:p>
    <w:p>
      <w:pPr>
        <w:pStyle w:val="Heading1"/>
      </w:pPr>
      <w:r>
        <w:rPr>
          <w:rFonts w:ascii="Arial" w:cs="Arial" w:eastAsia="Arial" w:hAnsi="Arial"/>
        </w:rPr>
        <w:t xml:space="preserve">1. Background</w:t>
      </w:r>
    </w:p>
    <w:p>
      <w:pPr>
        <w:spacing w:after="160"/>
      </w:pPr>
      <w:r>
        <w:rPr>
          <w:rFonts w:ascii="Arial" w:cs="Arial" w:eastAsia="Arial" w:hAnsi="Arial"/>
        </w:rPr>
        <w:t xml:space="preserve">Operator has designed, built, and deployed a custom digital booking platform for Company, including an online reservation system, payment processing integration, digital contract e-signing, operator mobile application, push and SMS notification services, delivery scheduling, inventory management, sales reporting, and audit tracking (the "Platform"). The parties wish to establish the ongoing terms under which Operator will maintain, operate, and market the Platform on Company's behalf.</w:t>
      </w:r>
    </w:p>
    <w:p>
      <w:pPr>
        <w:pStyle w:val="Heading1"/>
      </w:pPr>
      <w:r>
        <w:rPr>
          <w:rFonts w:ascii="Arial" w:cs="Arial" w:eastAsia="Arial" w:hAnsi="Arial"/>
        </w:rPr>
        <w:t xml:space="preserve">2. Services</w:t>
      </w:r>
    </w:p>
    <w:p>
      <w:pPr>
        <w:spacing w:after="160"/>
      </w:pPr>
      <w:r>
        <w:rPr>
          <w:rFonts w:ascii="Arial" w:cs="Arial" w:eastAsia="Arial" w:hAnsi="Arial"/>
        </w:rPr>
        <w:t xml:space="preserve">2.1 Platform Maintenance. Operator shall maintain the Platform in good working order including hosting, security updates, bug fixes, and uptime monitoring. Operator shall target 99% uptime, excluding scheduled maintenance communicated in advance.</w:t>
      </w:r>
    </w:p>
    <w:p>
      <w:pPr>
        <w:spacing w:after="160"/>
      </w:pPr>
      <w:r>
        <w:rPr>
          <w:rFonts w:ascii="Arial" w:cs="Arial" w:eastAsia="Arial" w:hAnsi="Arial"/>
        </w:rPr>
        <w:t xml:space="preserve">2.2 Marketing Management. Operator shall manage Company's digital marketing including Google Local Services Ads, Facebook/Instagram advertising, Google Business Profile management, social media content creation, and customer review generation.</w:t>
      </w:r>
    </w:p>
    <w:p>
      <w:pPr>
        <w:spacing w:after="160"/>
      </w:pPr>
      <w:r>
        <w:rPr>
          <w:rFonts w:ascii="Arial" w:cs="Arial" w:eastAsia="Arial" w:hAnsi="Arial"/>
        </w:rPr>
        <w:t xml:space="preserve">2.3 Feature Development. Platform enhancements requiring fewer than four (4) hours of work shall be included at no additional charge. Work requiring more than four (4) hours shall be scoped at $85.00/hour with written approval before work begins.</w:t>
      </w:r>
    </w:p>
    <w:p>
      <w:pPr>
        <w:spacing w:after="160"/>
      </w:pPr>
      <w:r>
        <w:rPr>
          <w:rFonts w:ascii="Arial" w:cs="Arial" w:eastAsia="Arial" w:hAnsi="Arial"/>
        </w:rPr>
        <w:t xml:space="preserve">2.4 Monthly Reporting. By the 15th of each month Operator shall deliver an itemized statement of prior month bookings, revenue, commission calculation, retainer, and advertising spend.</w:t>
      </w:r>
    </w:p>
    <w:p>
      <w:pPr>
        <w:pStyle w:val="Heading1"/>
      </w:pPr>
      <w:r>
        <w:rPr>
          <w:rFonts w:ascii="Arial" w:cs="Arial" w:eastAsia="Arial" w:hAnsi="Arial"/>
        </w:rPr>
        <w:t xml:space="preserve">3. Compensation</w:t>
      </w:r>
    </w:p>
    <w:p>
      <w:pPr>
        <w:spacing w:after="160"/>
      </w:pPr>
      <w:r>
        <w:rPr>
          <w:rFonts w:ascii="Arial" w:cs="Arial" w:eastAsia="Arial" w:hAnsi="Arial"/>
        </w:rPr>
        <w:t xml:space="preserve">3.1 Monthly Retainer. Company shall pay Operator a monthly retainer per the schedule below, based on the three-month rolling average of gross online booking revenue: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A0D0A" w:sz="8"/>
              <w:left w:val="none"/>
              <w:bottom w:val="single" w:color="0A0D0A" w:sz="8"/>
              <w:right w:val="none"/>
            </w:tcBorders>
            <w:shd w:fill="F4F5EF" w:val="clear"/>
            <w:tcMar>
              <w:top w:type="dxa" w:w="80"/>
              <w:left w:type="dxa" w:w="100"/>
              <w:bottom w:type="dxa" w:w="80"/>
              <w:right w:type="dxa" w:w="100"/>
            </w:tcMar>
          </w:tcPr>
          <w:p>
            <w:r>
              <w:rPr>
                <w:rFonts w:ascii="Arial" w:cs="Arial" w:eastAsia="Arial" w:hAnsi="Arial"/>
                <w:b/>
                <w:bCs/>
                <w:sz w:val="20"/>
                <w:szCs w:val="20"/>
              </w:rPr>
              <w:t xml:space="preserve">Monthly Booking Revenue (3-Month Avg.)</w:t>
            </w:r>
          </w:p>
        </w:tc>
        <w:tc>
          <w:tcPr>
            <w:tcW w:type="dxa" w:w="5040"/>
            <w:tcBorders>
              <w:top w:val="single" w:color="0A0D0A" w:sz="8"/>
              <w:left w:val="none"/>
              <w:bottom w:val="single" w:color="0A0D0A" w:sz="8"/>
              <w:right w:val="none"/>
            </w:tcBorders>
            <w:shd w:fill="F4F5EF" w:val="clear"/>
            <w:tcMar>
              <w:top w:type="dxa" w:w="80"/>
              <w:left w:type="dxa" w:w="100"/>
              <w:bottom w:type="dxa" w:w="80"/>
              <w:right w:type="dxa" w:w="100"/>
            </w:tcMar>
          </w:tcPr>
          <w:p>
            <w:r>
              <w:rPr>
                <w:rFonts w:ascii="Arial" w:cs="Arial" w:eastAsia="Arial" w:hAnsi="Arial"/>
                <w:b/>
                <w:bCs/>
                <w:sz w:val="20"/>
                <w:szCs w:val="20"/>
              </w:rPr>
              <w:t xml:space="preserve">Monthly Retainer</w:t>
            </w:r>
          </w:p>
        </w:tc>
      </w:tr>
      <w:tr>
        <w:tc>
          <w:tcPr>
            <w:tcW w:type="dxa" w:w="5040"/>
            <w:tcBorders>
              <w:top w:val="single" w:color="CCCCCC" w:sz="4"/>
              <w:left w:val="none"/>
              <w:bottom w:val="single" w:color="CCCCCC" w:sz="4"/>
              <w:right w:val="none"/>
            </w:tcBorders>
            <w:tcMar>
              <w:top w:type="dxa" w:w="80"/>
              <w:left w:type="dxa" w:w="100"/>
              <w:bottom w:type="dxa" w:w="80"/>
              <w:right w:type="dxa" w:w="100"/>
            </w:tcMar>
          </w:tcPr>
          <w:p>
            <w:pPr>
              <w:jc w:val="left"/>
            </w:pPr>
            <w:r>
              <w:rPr>
                <w:rFonts w:ascii="Arial" w:cs="Arial" w:eastAsia="Arial" w:hAnsi="Arial"/>
                <w:color w:val="0A0D0A"/>
                <w:sz w:val="22"/>
                <w:szCs w:val="22"/>
              </w:rPr>
              <w:t xml:space="preserve">Below $10,000</w:t>
            </w:r>
          </w:p>
        </w:tc>
        <w:tc>
          <w:tcPr>
            <w:tcW w:type="dxa" w:w="5040"/>
            <w:tcBorders>
              <w:top w:val="single" w:color="CCCCCC" w:sz="4"/>
              <w:left w:val="none"/>
              <w:bottom w:val="single" w:color="CCCCCC" w:sz="4"/>
              <w:right w:val="none"/>
            </w:tcBorders>
            <w:tcMar>
              <w:top w:type="dxa" w:w="80"/>
              <w:left w:type="dxa" w:w="100"/>
              <w:bottom w:type="dxa" w:w="80"/>
              <w:right w:type="dxa" w:w="100"/>
            </w:tcMar>
          </w:tcPr>
          <w:p>
            <w:pPr>
              <w:jc w:val="left"/>
            </w:pPr>
            <w:r>
              <w:rPr>
                <w:rFonts w:ascii="Arial" w:cs="Arial" w:eastAsia="Arial" w:hAnsi="Arial"/>
                <w:color w:val="0A0D0A"/>
                <w:sz w:val="22"/>
                <w:szCs w:val="22"/>
              </w:rPr>
              <w:t xml:space="preserve">$750.00</w:t>
            </w:r>
          </w:p>
        </w:tc>
      </w:tr>
      <w:tr>
        <w:tc>
          <w:tcPr>
            <w:tcW w:type="dxa" w:w="5040"/>
            <w:tcBorders>
              <w:top w:val="single" w:color="CCCCCC" w:sz="4"/>
              <w:left w:val="none"/>
              <w:bottom w:val="single" w:color="CCCCCC" w:sz="4"/>
              <w:right w:val="none"/>
            </w:tcBorders>
            <w:tcMar>
              <w:top w:type="dxa" w:w="80"/>
              <w:left w:type="dxa" w:w="100"/>
              <w:bottom w:type="dxa" w:w="80"/>
              <w:right w:type="dxa" w:w="100"/>
            </w:tcMar>
          </w:tcPr>
          <w:p>
            <w:pPr>
              <w:jc w:val="left"/>
            </w:pPr>
            <w:r>
              <w:rPr>
                <w:rFonts w:ascii="Arial" w:cs="Arial" w:eastAsia="Arial" w:hAnsi="Arial"/>
                <w:color w:val="0A0D0A"/>
                <w:sz w:val="22"/>
                <w:szCs w:val="22"/>
              </w:rPr>
              <w:t xml:space="preserve">$10,000 – $24,999</w:t>
            </w:r>
          </w:p>
        </w:tc>
        <w:tc>
          <w:tcPr>
            <w:tcW w:type="dxa" w:w="5040"/>
            <w:tcBorders>
              <w:top w:val="single" w:color="CCCCCC" w:sz="4"/>
              <w:left w:val="none"/>
              <w:bottom w:val="single" w:color="CCCCCC" w:sz="4"/>
              <w:right w:val="none"/>
            </w:tcBorders>
            <w:tcMar>
              <w:top w:type="dxa" w:w="80"/>
              <w:left w:type="dxa" w:w="100"/>
              <w:bottom w:type="dxa" w:w="80"/>
              <w:right w:type="dxa" w:w="100"/>
            </w:tcMar>
          </w:tcPr>
          <w:p>
            <w:pPr>
              <w:jc w:val="left"/>
            </w:pPr>
            <w:r>
              <w:rPr>
                <w:rFonts w:ascii="Arial" w:cs="Arial" w:eastAsia="Arial" w:hAnsi="Arial"/>
                <w:color w:val="0A0D0A"/>
                <w:sz w:val="22"/>
                <w:szCs w:val="22"/>
              </w:rPr>
              <w:t xml:space="preserve">$1,000.00</w:t>
            </w:r>
          </w:p>
        </w:tc>
      </w:tr>
      <w:tr>
        <w:tc>
          <w:tcPr>
            <w:tcW w:type="dxa" w:w="5040"/>
            <w:tcBorders>
              <w:top w:val="single" w:color="CCCCCC" w:sz="4"/>
              <w:left w:val="none"/>
              <w:bottom w:val="single" w:color="CCCCCC" w:sz="4"/>
              <w:right w:val="none"/>
            </w:tcBorders>
            <w:tcMar>
              <w:top w:type="dxa" w:w="80"/>
              <w:left w:type="dxa" w:w="100"/>
              <w:bottom w:type="dxa" w:w="80"/>
              <w:right w:type="dxa" w:w="100"/>
            </w:tcMar>
          </w:tcPr>
          <w:p>
            <w:pPr>
              <w:jc w:val="left"/>
            </w:pPr>
            <w:r>
              <w:rPr>
                <w:rFonts w:ascii="Arial" w:cs="Arial" w:eastAsia="Arial" w:hAnsi="Arial"/>
                <w:color w:val="0A0D0A"/>
                <w:sz w:val="22"/>
                <w:szCs w:val="22"/>
              </w:rPr>
              <w:t xml:space="preserve">$25,000 and above</w:t>
            </w:r>
          </w:p>
        </w:tc>
        <w:tc>
          <w:tcPr>
            <w:tcW w:type="dxa" w:w="5040"/>
            <w:tcBorders>
              <w:top w:val="single" w:color="CCCCCC" w:sz="4"/>
              <w:left w:val="none"/>
              <w:bottom w:val="single" w:color="CCCCCC" w:sz="4"/>
              <w:right w:val="none"/>
            </w:tcBorders>
            <w:tcMar>
              <w:top w:type="dxa" w:w="80"/>
              <w:left w:type="dxa" w:w="100"/>
              <w:bottom w:type="dxa" w:w="80"/>
              <w:right w:type="dxa" w:w="100"/>
            </w:tcMar>
          </w:tcPr>
          <w:p>
            <w:pPr>
              <w:jc w:val="left"/>
            </w:pPr>
            <w:r>
              <w:rPr>
                <w:rFonts w:ascii="Arial" w:cs="Arial" w:eastAsia="Arial" w:hAnsi="Arial"/>
                <w:color w:val="0A0D0A"/>
                <w:sz w:val="22"/>
                <w:szCs w:val="22"/>
              </w:rPr>
              <w:t xml:space="preserve">$1,200.00</w:t>
            </w:r>
          </w:p>
        </w:tc>
      </w:tr>
    </w:tbl>
    <w:p>
      <w:pPr>
        <w:spacing w:after="140"/>
      </w:pPr>
      <w:r>
        <w:t xml:space="preserve"/>
      </w:r>
    </w:p>
    <w:p>
      <w:pPr>
        <w:spacing w:after="160"/>
      </w:pPr>
      <w:r>
        <w:rPr>
          <w:rFonts w:ascii="Arial" w:cs="Arial" w:eastAsia="Arial" w:hAnsi="Arial"/>
        </w:rPr>
        <w:t xml:space="preserve">3.2 Commission. Company shall pay Operator fifteen percent (15%) of Net Booking Revenue each calendar month.</w:t>
      </w:r>
    </w:p>
    <w:p>
      <w:pPr>
        <w:spacing w:after="160"/>
      </w:pPr>
      <w:r>
        <w:rPr>
          <w:rFonts w:ascii="Arial" w:cs="Arial" w:eastAsia="Arial" w:hAnsi="Arial"/>
        </w:rPr>
        <w:t xml:space="preserve">3.3 Net Booking Revenue. Gross booking revenue collected through the Platform, less Stripe payment processing fees and amounts refunded to customers in the same period.</w:t>
      </w:r>
    </w:p>
    <w:p>
      <w:pPr>
        <w:spacing w:after="160"/>
      </w:pPr>
      <w:r>
        <w:rPr>
          <w:rFonts w:ascii="Arial" w:cs="Arial" w:eastAsia="Arial" w:hAnsi="Arial"/>
        </w:rPr>
        <w:t xml:space="preserve">3.4 Advertising Budget. Company funds all paid advertising at cost. Operator invoices monthly with supporting documentation. No markup on advertising spend.</w:t>
      </w:r>
    </w:p>
    <w:p>
      <w:pPr>
        <w:spacing w:after="160"/>
      </w:pPr>
      <w:r>
        <w:rPr>
          <w:rFonts w:ascii="Arial" w:cs="Arial" w:eastAsia="Arial" w:hAnsi="Arial"/>
        </w:rPr>
        <w:t xml:space="preserve">3.5 Payment Terms. Operator delivers a statement by the 15th of each month. Company remits total payment within fifteen (15) days of receipt.</w:t>
      </w:r>
    </w:p>
    <w:p>
      <w:pPr>
        <w:spacing w:after="160"/>
      </w:pPr>
      <w:r>
        <w:rPr>
          <w:rFonts w:ascii="Arial" w:cs="Arial" w:eastAsia="Arial" w:hAnsi="Arial"/>
        </w:rPr>
        <w:t xml:space="preserve">3.6 Refund Clawback. Commission on refunded bookings is deducted from the following month's statement.</w:t>
      </w:r>
    </w:p>
    <w:p>
      <w:pPr>
        <w:pStyle w:val="Heading1"/>
      </w:pPr>
      <w:r>
        <w:rPr>
          <w:rFonts w:ascii="Arial" w:cs="Arial" w:eastAsia="Arial" w:hAnsi="Arial"/>
        </w:rPr>
        <w:t xml:space="preserve">4. Platform Ownership and Data</w:t>
      </w:r>
    </w:p>
    <w:p>
      <w:pPr>
        <w:spacing w:after="160"/>
      </w:pPr>
      <w:r>
        <w:rPr>
          <w:rFonts w:ascii="Arial" w:cs="Arial" w:eastAsia="Arial" w:hAnsi="Arial"/>
        </w:rPr>
        <w:t xml:space="preserve">4.1 Platform IP. Operator owns the Platform codebase and architecture. Company receives a non-exclusive license to use the Platform during the term of this Agreement.</w:t>
      </w:r>
    </w:p>
    <w:p>
      <w:pPr>
        <w:spacing w:after="160"/>
      </w:pPr>
      <w:r>
        <w:rPr>
          <w:rFonts w:ascii="Arial" w:cs="Arial" w:eastAsia="Arial" w:hAnsi="Arial"/>
        </w:rPr>
        <w:t xml:space="preserve">4.2 Company Data. All customer data, booking records, and business data generated through the Platform belong solely to Company. On termination, Operator provides a complete data export within fifteen (15) business days.</w:t>
      </w:r>
    </w:p>
    <w:p>
      <w:pPr>
        <w:spacing w:after="160"/>
      </w:pPr>
      <w:r>
        <w:rPr>
          <w:rFonts w:ascii="Arial" w:cs="Arial" w:eastAsia="Arial" w:hAnsi="Arial"/>
        </w:rPr>
        <w:t xml:space="preserve">4.3 Geographic Exclusivity. Operator will not deploy the same Platform for a competing trailer rental business operating within Lucas County, Ohio or within thirty (30) miles of Toledo during the term and for twelve (12) months after termination.</w:t>
      </w:r>
    </w:p>
    <w:p>
      <w:pPr>
        <w:pStyle w:val="Heading1"/>
      </w:pPr>
      <w:r>
        <w:rPr>
          <w:rFonts w:ascii="Arial" w:cs="Arial" w:eastAsia="Arial" w:hAnsi="Arial"/>
        </w:rPr>
        <w:t xml:space="preserve">5. Term and Termination</w:t>
      </w:r>
    </w:p>
    <w:p>
      <w:pPr>
        <w:spacing w:after="160"/>
      </w:pPr>
      <w:r>
        <w:rPr>
          <w:rFonts w:ascii="Arial" w:cs="Arial" w:eastAsia="Arial" w:hAnsi="Arial"/>
        </w:rPr>
        <w:t xml:space="preserve">5.1 Initial Term. Twelve (12) months from the Effective Date.</w:t>
      </w:r>
    </w:p>
    <w:p>
      <w:pPr>
        <w:spacing w:after="160"/>
      </w:pPr>
      <w:r>
        <w:rPr>
          <w:rFonts w:ascii="Arial" w:cs="Arial" w:eastAsia="Arial" w:hAnsi="Arial"/>
        </w:rPr>
        <w:t xml:space="preserve">5.2 Renewal. Auto-renews month-to-month following the initial term until terminated.</w:t>
      </w:r>
    </w:p>
    <w:p>
      <w:pPr>
        <w:spacing w:after="160"/>
      </w:pPr>
      <w:r>
        <w:rPr>
          <w:rFonts w:ascii="Arial" w:cs="Arial" w:eastAsia="Arial" w:hAnsi="Arial"/>
        </w:rPr>
        <w:t xml:space="preserve">5.3 Termination for Convenience. Either party may terminate with sixty (60) days written notice.</w:t>
      </w:r>
    </w:p>
    <w:p>
      <w:pPr>
        <w:spacing w:after="160"/>
      </w:pPr>
      <w:r>
        <w:rPr>
          <w:rFonts w:ascii="Arial" w:cs="Arial" w:eastAsia="Arial" w:hAnsi="Arial"/>
        </w:rPr>
        <w:t xml:space="preserve">5.4 Termination for Cause. Either party may terminate immediately on material breach uncured within fifteen (15) days of written notice.</w:t>
      </w:r>
    </w:p>
    <w:p>
      <w:pPr>
        <w:spacing w:after="160"/>
      </w:pPr>
      <w:r>
        <w:rPr>
          <w:rFonts w:ascii="Arial" w:cs="Arial" w:eastAsia="Arial" w:hAnsi="Arial"/>
        </w:rPr>
        <w:t xml:space="preserve">5.5 Post-Termination. Commission continues on bookings made prior to termination that complete within ninety (90) days. All outstanding fees are due within thirty (30) days. Company may purchase a perpetual platform license at fair market value by mutual agreement.</w:t>
      </w:r>
    </w:p>
    <w:p>
      <w:pPr>
        <w:pStyle w:val="Heading1"/>
      </w:pPr>
      <w:r>
        <w:rPr>
          <w:rFonts w:ascii="Arial" w:cs="Arial" w:eastAsia="Arial" w:hAnsi="Arial"/>
        </w:rPr>
        <w:t xml:space="preserve">6. General</w:t>
      </w:r>
    </w:p>
    <w:p>
      <w:pPr>
        <w:spacing w:after="160"/>
      </w:pPr>
      <w:r>
        <w:rPr>
          <w:rFonts w:ascii="Arial" w:cs="Arial" w:eastAsia="Arial" w:hAnsi="Arial"/>
        </w:rPr>
        <w:t xml:space="preserve">6.1 Independent Contractor. Operator is an independent contractor. No employment, partnership, or agency relationship is created.</w:t>
      </w:r>
    </w:p>
    <w:p>
      <w:pPr>
        <w:spacing w:after="160"/>
      </w:pPr>
      <w:r>
        <w:rPr>
          <w:rFonts w:ascii="Arial" w:cs="Arial" w:eastAsia="Arial" w:hAnsi="Arial"/>
        </w:rPr>
        <w:t xml:space="preserve">6.2 Confidentiality. Each party shall keep the other's non-public business information confidential. This obligation survives termination for two (2) years.</w:t>
      </w:r>
    </w:p>
    <w:p>
      <w:pPr>
        <w:spacing w:after="160"/>
      </w:pPr>
      <w:r>
        <w:rPr>
          <w:rFonts w:ascii="Arial" w:cs="Arial" w:eastAsia="Arial" w:hAnsi="Arial"/>
        </w:rPr>
        <w:t xml:space="preserve">6.3 Limitation of Liability. Neither party is liable for indirect, consequential, or punitive damages. Operator's total liability shall not exceed three (3) months of retainer payments.</w:t>
      </w:r>
    </w:p>
    <w:p>
      <w:pPr>
        <w:spacing w:after="160"/>
      </w:pPr>
      <w:r>
        <w:rPr>
          <w:rFonts w:ascii="Arial" w:cs="Arial" w:eastAsia="Arial" w:hAnsi="Arial"/>
        </w:rPr>
        <w:t xml:space="preserve">6.4 Governing Law. State of Ohio, without regard to conflict-of-laws principles.</w:t>
      </w:r>
    </w:p>
    <w:p>
      <w:pPr>
        <w:spacing w:after="160"/>
      </w:pPr>
      <w:r>
        <w:rPr>
          <w:rFonts w:ascii="Arial" w:cs="Arial" w:eastAsia="Arial" w:hAnsi="Arial"/>
        </w:rPr>
        <w:t xml:space="preserve">6.5 Venue. State or federal courts of Lucas County, Ohio.</w:t>
      </w:r>
    </w:p>
    <w:p>
      <w:pPr>
        <w:spacing w:after="160"/>
      </w:pPr>
      <w:r>
        <w:rPr>
          <w:rFonts w:ascii="Arial" w:cs="Arial" w:eastAsia="Arial" w:hAnsi="Arial"/>
        </w:rPr>
        <w:t xml:space="preserve">6.6 Amendments. Written and signed by both parties.</w:t>
      </w:r>
    </w:p>
    <w:p>
      <w:pPr>
        <w:spacing w:after="160"/>
      </w:pPr>
      <w:r>
        <w:rPr>
          <w:rFonts w:ascii="Arial" w:cs="Arial" w:eastAsia="Arial" w:hAnsi="Arial"/>
        </w:rPr>
        <w:t xml:space="preserve">6.7 Entire Agreement. This Agreement and the Summary Letter dated [SUMMARY DATE] constitute the entire agreement on this subject.</w:t>
      </w:r>
    </w:p>
    <w:p>
      <w:pPr>
        <w:spacing w:after="160"/>
      </w:pPr>
      <w:r>
        <w:rPr>
          <w:rFonts w:ascii="Arial" w:cs="Arial" w:eastAsia="Arial" w:hAnsi="Arial"/>
        </w:rPr>
        <w:t xml:space="preserve">6.8 Counterparts. May be signed in counterparts including electronic signatures.</w:t>
      </w:r>
    </w:p>
    <w:p>
      <w:pPr>
        <w:spacing w:after="200"/>
      </w:pPr>
      <w:r>
        <w:t xml:space="preserve"/>
      </w:r>
    </w:p>
    <w:p>
      <w:pPr>
        <w:pBdr>
          <w:bottom w:val="single" w:color="2ECC40" w:sz="12" w:space="1"/>
        </w:pBdr>
        <w:spacing w:after="200"/>
      </w:pPr>
      <w:r>
        <w:t xml:space="preserve"/>
      </w:r>
    </w:p>
    <w:p>
      <w:pPr>
        <w:spacing w:after="200"/>
        <w:jc w:val="center"/>
      </w:pPr>
      <w:r>
        <w:rPr>
          <w:rFonts w:ascii="Arial" w:cs="Arial" w:eastAsia="Arial" w:hAnsi="Arial"/>
          <w:b/>
          <w:bCs/>
          <w:sz w:val="26"/>
          <w:szCs w:val="26"/>
        </w:rPr>
        <w:t xml:space="preserve">SIGNATURES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none"/>
            </w:tcBorders>
            <w:tcMar>
              <w:top w:type="dxa" w:w="80"/>
              <w:left w:type="dxa" w:w="80"/>
              <w:bottom w:type="dxa" w:w="80"/>
              <w:right w:type="dxa" w:w="200"/>
            </w:tcMar>
          </w:tcPr>
          <w:p>
            <w:pPr>
              <w:spacing w:after="320"/>
            </w:pPr>
            <w:r>
              <w:rPr>
                <w:rFonts w:ascii="Arial" w:cs="Arial" w:eastAsia="Arial" w:hAnsi="Arial"/>
                <w:b/>
                <w:bCs/>
                <w:color w:val="888888"/>
                <w:sz w:val="20"/>
                <w:szCs w:val="20"/>
              </w:rPr>
              <w:t xml:space="preserve">OPERATOR</w:t>
            </w:r>
          </w:p>
          <w:p>
            <w:pPr>
              <w:pBdr>
                <w:bottom w:val="single" w:color="0A0D0A" w:sz="6" w:space="1"/>
              </w:pBdr>
              <w:spacing w:after="60"/>
            </w:pPr>
            <w:r>
              <w:t xml:space="preserve"/>
            </w:r>
          </w:p>
          <w:p>
            <w:pPr>
              <w:spacing w:after="200"/>
            </w:pPr>
            <w:r>
              <w:rPr>
                <w:rFonts w:ascii="Arial" w:cs="Arial" w:eastAsia="Arial" w:hAnsi="Arial"/>
                <w:color w:val="888888"/>
                <w:sz w:val="18"/>
                <w:szCs w:val="18"/>
              </w:rPr>
              <w:t xml:space="preserve">Signature</w:t>
            </w:r>
          </w:p>
          <w:p>
            <w:pPr>
              <w:pBdr>
                <w:bottom w:val="single" w:color="0A0D0A" w:sz="6" w:space="1"/>
              </w:pBdr>
              <w:spacing w:after="60"/>
            </w:pPr>
            <w:r>
              <w:t xml:space="preserve"/>
            </w:r>
          </w:p>
          <w:p>
            <w:pPr>
              <w:spacing w:after="200"/>
            </w:pPr>
            <w:r>
              <w:rPr>
                <w:rFonts w:ascii="Arial" w:cs="Arial" w:eastAsia="Arial" w:hAnsi="Arial"/>
                <w:color w:val="888888"/>
                <w:sz w:val="18"/>
                <w:szCs w:val="18"/>
              </w:rPr>
              <w:t xml:space="preserve">Printed Name</w:t>
            </w:r>
          </w:p>
          <w:p>
            <w:pPr>
              <w:pBdr>
                <w:bottom w:val="single" w:color="0A0D0A" w:sz="6" w:space="1"/>
              </w:pBdr>
              <w:spacing w:after="60"/>
            </w:pPr>
            <w:r>
              <w:t xml:space="preserve"/>
            </w:r>
          </w:p>
          <w:p>
            <w:pPr>
              <w:spacing w:after="60"/>
            </w:pPr>
            <w:r>
              <w:rPr>
                <w:rFonts w:ascii="Arial" w:cs="Arial" w:eastAsia="Arial" w:hAnsi="Arial"/>
                <w:color w:val="888888"/>
                <w:sz w:val="18"/>
                <w:szCs w:val="18"/>
              </w:rPr>
              <w:t xml:space="preserve">Date</w:t>
            </w:r>
          </w:p>
        </w:tc>
        <w:tc>
          <w:tcPr>
            <w:tcW w:type="dxa" w:w="5040"/>
            <w:tcBorders>
              <w:top w:val="none"/>
              <w:left w:val="none"/>
              <w:bottom w:val="none"/>
              <w:right w:val="none"/>
            </w:tcBorders>
            <w:tcMar>
              <w:top w:type="dxa" w:w="80"/>
              <w:left w:type="dxa" w:w="200"/>
              <w:bottom w:type="dxa" w:w="80"/>
              <w:right w:type="dxa" w:w="80"/>
            </w:tcMar>
          </w:tcPr>
          <w:p>
            <w:pPr>
              <w:spacing w:after="320"/>
            </w:pPr>
            <w:r>
              <w:rPr>
                <w:rFonts w:ascii="Arial" w:cs="Arial" w:eastAsia="Arial" w:hAnsi="Arial"/>
                <w:b/>
                <w:bCs/>
                <w:color w:val="888888"/>
                <w:sz w:val="20"/>
                <w:szCs w:val="20"/>
              </w:rPr>
              <w:t xml:space="preserve">GLASS CITY TRAILER RENTALS LLC</w:t>
            </w:r>
          </w:p>
          <w:p>
            <w:pPr>
              <w:pBdr>
                <w:bottom w:val="single" w:color="0A0D0A" w:sz="6" w:space="1"/>
              </w:pBdr>
              <w:spacing w:after="60"/>
            </w:pPr>
            <w:r>
              <w:t xml:space="preserve"/>
            </w:r>
          </w:p>
          <w:p>
            <w:pPr>
              <w:spacing w:after="200"/>
            </w:pPr>
            <w:r>
              <w:rPr>
                <w:rFonts w:ascii="Arial" w:cs="Arial" w:eastAsia="Arial" w:hAnsi="Arial"/>
                <w:color w:val="888888"/>
                <w:sz w:val="18"/>
                <w:szCs w:val="18"/>
              </w:rPr>
              <w:t xml:space="preserve">Signature</w:t>
            </w:r>
          </w:p>
          <w:p>
            <w:pPr>
              <w:pBdr>
                <w:bottom w:val="single" w:color="0A0D0A" w:sz="6" w:space="1"/>
              </w:pBdr>
              <w:spacing w:after="60"/>
            </w:pPr>
            <w:r>
              <w:t xml:space="preserve"/>
            </w:r>
          </w:p>
          <w:p>
            <w:pPr>
              <w:spacing w:after="200"/>
            </w:pPr>
            <w:r>
              <w:rPr>
                <w:rFonts w:ascii="Arial" w:cs="Arial" w:eastAsia="Arial" w:hAnsi="Arial"/>
                <w:color w:val="888888"/>
                <w:sz w:val="18"/>
                <w:szCs w:val="18"/>
              </w:rPr>
              <w:t xml:space="preserve">Printed Name</w:t>
            </w:r>
          </w:p>
          <w:p>
            <w:pPr>
              <w:pBdr>
                <w:bottom w:val="single" w:color="0A0D0A" w:sz="6" w:space="1"/>
              </w:pBdr>
              <w:spacing w:after="60"/>
            </w:pPr>
            <w:r>
              <w:t xml:space="preserve"/>
            </w:r>
          </w:p>
          <w:p>
            <w:pPr>
              <w:spacing w:after="60"/>
            </w:pPr>
            <w:r>
              <w:rPr>
                <w:rFonts w:ascii="Arial" w:cs="Arial" w:eastAsia="Arial" w:hAnsi="Arial"/>
                <w:color w:val="888888"/>
                <w:sz w:val="18"/>
                <w:szCs w:val="18"/>
              </w:rPr>
              <w:t xml:space="preserve">Date</w:t>
            </w:r>
          </w:p>
        </w:tc>
      </w:tr>
    </w:tbl>
    <w:p>
      <w:pPr>
        <w:spacing w:after="200"/>
      </w:pPr>
      <w:r>
        <w:t xml:space="preserve"/>
      </w:r>
    </w:p>
    <w:p>
      <w:pPr>
        <w:jc w:val="center"/>
      </w:pPr>
      <w:r>
        <w:rPr>
          <w:rFonts w:ascii="Arial" w:cs="Arial" w:eastAsia="Arial" w:hAnsi="Arial"/>
          <w:i/>
          <w:iCs/>
          <w:color w:val="888888"/>
          <w:sz w:val="18"/>
          <w:szCs w:val="18"/>
        </w:rPr>
        <w:t xml:space="preserve">Draft for attorney review. Both parties are advised to consult independent legal counsel before signing.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1">
    <w:name w:val="Heading 1"/>
    <w:basedOn w:val="Normal"/>
    <w:next w:val="Normal"/>
    <w:qFormat/>
    <w:pPr>
      <w:spacing w:after="80" w:before="240"/>
      <w:outlineLvl w:val="0"/>
    </w:pPr>
    <w:rPr>
      <w:rFonts w:ascii="Arial" w:cs="Arial" w:eastAsia="Arial" w:hAnsi="Arial"/>
      <w:b/>
      <w:bCs/>
      <w:color w:val="0A0D0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2026-06-02T00:49:15.098Z</dcterms:created>
  <dcterms:modified xsi:type="dcterms:W3CDTF">2026-06-02T00:49:15.098Z</dcterms:modified>
</cp:coreProperties>
</file>

<file path=docProps/custom.xml><?xml version="1.0" encoding="utf-8"?>
<Properties xmlns="http://schemas.openxmlformats.org/officeDocument/2006/custom-properties" xmlns:vt="http://schemas.openxmlformats.org/officeDocument/2006/docPropsVTypes"/>
</file>