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1F4D78"/>
          <w:sz w:val="22"/>
        </w:rPr>
        <w:t>PROJECT PLATFORM</w:t>
      </w:r>
    </w:p>
    <w:p>
      <w:pPr>
        <w:spacing w:after="80"/>
      </w:pPr>
      <w:r>
        <w:rPr>
          <w:rFonts w:ascii="Calibri" w:hAnsi="Calibri"/>
          <w:b/>
          <w:color w:val="1F4D78"/>
          <w:sz w:val="54"/>
        </w:rPr>
        <w:t>Sira: Domain &amp; Feature Proposal</w:t>
      </w:r>
    </w:p>
    <w:p>
      <w:pPr>
        <w:spacing w:after="320"/>
      </w:pPr>
      <w:r>
        <w:rPr>
          <w:color w:val="595959"/>
          <w:sz w:val="26"/>
        </w:rPr>
        <w:t>A locally relevant brand and product plan for the Asana-style work-management platform, with a practical Ethio telecom / telebirr payment path.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b/>
              </w:rPr>
              <w:t xml:space="preserve">Recommendation: use sira.et as the primary brand domain. </w:t>
            </w:r>
            <w:r>
              <w:t>“Sira” means work/task in Amharic, is short and memorable, and fits a team-workspace product. Register the .et domain only after an availability and trademark check; reserve siraapp.com or sira.work as a secondary global URL where available.</w:t>
            </w:r>
          </w:p>
        </w:tc>
      </w:tr>
    </w:tbl>
    <w:p>
      <w:pPr>
        <w:pStyle w:val="Heading1"/>
      </w:pPr>
      <w:r>
        <w:t>1. Domain naming options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Meaning / positioning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Recommended use</w:t>
            </w:r>
          </w:p>
        </w:tc>
      </w:tr>
      <w:tr>
        <w:tc>
          <w:tcPr>
            <w:tcW w:type="dxa" w:w="2200"/>
          </w:tcPr>
          <w:p>
            <w:r>
              <w:t>sira.et</w:t>
            </w:r>
          </w:p>
        </w:tc>
        <w:tc>
          <w:tcPr>
            <w:tcW w:type="dxa" w:w="3600"/>
          </w:tcPr>
          <w:p>
            <w:r>
              <w:t>“Work / task” in Amharic. Simple, local, professional.</w:t>
            </w:r>
          </w:p>
        </w:tc>
        <w:tc>
          <w:tcPr>
            <w:tcW w:type="dxa" w:w="3560"/>
          </w:tcPr>
          <w:p>
            <w:r>
              <w:t>Primary Ethiopian market brand and public website.</w:t>
            </w:r>
          </w:p>
        </w:tc>
      </w:tr>
      <w:tr>
        <w:tc>
          <w:tcPr>
            <w:tcW w:type="dxa" w:w="2200"/>
          </w:tcPr>
          <w:p>
            <w:r>
              <w:t>sirawork.et</w:t>
            </w:r>
          </w:p>
        </w:tc>
        <w:tc>
          <w:tcPr>
            <w:tcW w:type="dxa" w:w="3600"/>
          </w:tcPr>
          <w:p>
            <w:r>
              <w:t>Explicitly communicates a work-management tool.</w:t>
            </w:r>
          </w:p>
        </w:tc>
        <w:tc>
          <w:tcPr>
            <w:tcW w:type="dxa" w:w="3560"/>
          </w:tcPr>
          <w:p>
            <w:r>
              <w:t>Fallback if the shorter name is unavailable.</w:t>
            </w:r>
          </w:p>
        </w:tc>
      </w:tr>
      <w:tr>
        <w:tc>
          <w:tcPr>
            <w:tcW w:type="dxa" w:w="2200"/>
          </w:tcPr>
          <w:p>
            <w:r>
              <w:t>yekebede.et</w:t>
            </w:r>
          </w:p>
        </w:tc>
        <w:tc>
          <w:tcPr>
            <w:tcW w:type="dxa" w:w="3600"/>
          </w:tcPr>
          <w:p>
            <w:r>
              <w:t>“Workspace” concept; community/team oriented.</w:t>
            </w:r>
          </w:p>
        </w:tc>
        <w:tc>
          <w:tcPr>
            <w:tcW w:type="dxa" w:w="3560"/>
          </w:tcPr>
          <w:p>
            <w:r>
              <w:t>Alternative brand for collaboration-first positioning.</w:t>
            </w:r>
          </w:p>
        </w:tc>
      </w:tr>
      <w:tr>
        <w:tc>
          <w:tcPr>
            <w:tcW w:type="dxa" w:w="2200"/>
          </w:tcPr>
          <w:p>
            <w:r>
              <w:t>siraapp.com</w:t>
            </w:r>
          </w:p>
        </w:tc>
        <w:tc>
          <w:tcPr>
            <w:tcW w:type="dxa" w:w="3600"/>
          </w:tcPr>
          <w:p>
            <w:r>
              <w:t>Internationally recognizable companion domain.</w:t>
            </w:r>
          </w:p>
        </w:tc>
        <w:tc>
          <w:tcPr>
            <w:tcW w:type="dxa" w:w="3560"/>
          </w:tcPr>
          <w:p>
            <w:r>
              <w:t>Redirect to the main site; useful for email and diaspora users.</w:t>
            </w:r>
          </w:p>
        </w:tc>
      </w:tr>
    </w:tbl>
    <w:p>
      <w:pPr>
        <w:pStyle w:val="Heading1"/>
      </w:pPr>
      <w:r>
        <w:t>2. Product feature set</w:t>
      </w:r>
    </w:p>
    <w:p>
      <w:r>
        <w:t>The current application already provides a strong base: authentication, workspaces, projects, task views, dashboards, and role-oriented administration. The following package gives it a clear market-ready story.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50"/>
        <w:gridCol w:w="3750"/>
        <w:gridCol w:w="3260"/>
      </w:tblGrid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Feature area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What users get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b/>
              </w:rPr>
              <w:t>Business value</w:t>
            </w:r>
          </w:p>
        </w:tc>
      </w:tr>
      <w:tr>
        <w:tc>
          <w:tcPr>
            <w:tcW w:type="dxa" w:w="2350"/>
          </w:tcPr>
          <w:p>
            <w:r>
              <w:t>Team workspaces</w:t>
            </w:r>
          </w:p>
        </w:tc>
        <w:tc>
          <w:tcPr>
            <w:tcW w:type="dxa" w:w="3750"/>
          </w:tcPr>
          <w:p>
            <w:r>
              <w:t>Separate organizations, teams, membership roles, and secure project spaces.</w:t>
            </w:r>
          </w:p>
        </w:tc>
        <w:tc>
          <w:tcPr>
            <w:tcW w:type="dxa" w:w="3260"/>
          </w:tcPr>
          <w:p>
            <w:r>
              <w:t>Supports agencies, SMEs, NGOs, and departments without mixing data.</w:t>
            </w:r>
          </w:p>
        </w:tc>
      </w:tr>
      <w:tr>
        <w:tc>
          <w:tcPr>
            <w:tcW w:type="dxa" w:w="2350"/>
          </w:tcPr>
          <w:p>
            <w:r>
              <w:t>Task execution</w:t>
            </w:r>
          </w:p>
        </w:tc>
        <w:tc>
          <w:tcPr>
            <w:tcW w:type="dxa" w:w="3750"/>
          </w:tcPr>
          <w:p>
            <w:r>
              <w:t>List, Kanban, calendar, and timeline views; assignees, due dates, priorities, and status.</w:t>
            </w:r>
          </w:p>
        </w:tc>
        <w:tc>
          <w:tcPr>
            <w:tcW w:type="dxa" w:w="3260"/>
          </w:tcPr>
          <w:p>
            <w:r>
              <w:t>Makes daily work visible and accountable.</w:t>
            </w:r>
          </w:p>
        </w:tc>
      </w:tr>
      <w:tr>
        <w:tc>
          <w:tcPr>
            <w:tcW w:type="dxa" w:w="2350"/>
          </w:tcPr>
          <w:p>
            <w:r>
              <w:t>Portfolio dashboard</w:t>
            </w:r>
          </w:p>
        </w:tc>
        <w:tc>
          <w:tcPr>
            <w:tcW w:type="dxa" w:w="3750"/>
          </w:tcPr>
          <w:p>
            <w:r>
              <w:t>Workload, activity, productivity, deadlines, and team-performance indicators.</w:t>
            </w:r>
          </w:p>
        </w:tc>
        <w:tc>
          <w:tcPr>
            <w:tcW w:type="dxa" w:w="3260"/>
          </w:tcPr>
          <w:p>
            <w:r>
              <w:t>Gives managers a quick operational view.</w:t>
            </w:r>
          </w:p>
        </w:tc>
      </w:tr>
      <w:tr>
        <w:tc>
          <w:tcPr>
            <w:tcW w:type="dxa" w:w="2350"/>
          </w:tcPr>
          <w:p>
            <w:r>
              <w:t>Projects &amp; templates</w:t>
            </w:r>
          </w:p>
        </w:tc>
        <w:tc>
          <w:tcPr>
            <w:tcW w:type="dxa" w:w="3750"/>
          </w:tcPr>
          <w:p>
            <w:r>
              <w:t>Reusable project structures for onboarding, campaigns, construction, events, and field work.</w:t>
            </w:r>
          </w:p>
        </w:tc>
        <w:tc>
          <w:tcPr>
            <w:tcW w:type="dxa" w:w="3260"/>
          </w:tcPr>
          <w:p>
            <w:r>
              <w:t>Reduces setup time and standardizes delivery.</w:t>
            </w:r>
          </w:p>
        </w:tc>
      </w:tr>
      <w:tr>
        <w:tc>
          <w:tcPr>
            <w:tcW w:type="dxa" w:w="2350"/>
          </w:tcPr>
          <w:p>
            <w:r>
              <w:t>Notifications &amp; inbox</w:t>
            </w:r>
          </w:p>
        </w:tc>
        <w:tc>
          <w:tcPr>
            <w:tcW w:type="dxa" w:w="3750"/>
          </w:tcPr>
          <w:p>
            <w:r>
              <w:t>Due-date reminders, assignment updates, @mentions, and a personal action inbox.</w:t>
            </w:r>
          </w:p>
        </w:tc>
        <w:tc>
          <w:tcPr>
            <w:tcW w:type="dxa" w:w="3260"/>
          </w:tcPr>
          <w:p>
            <w:r>
              <w:t>Keeps work moving without constant manual follow-up.</w:t>
            </w:r>
          </w:p>
        </w:tc>
      </w:tr>
      <w:tr>
        <w:tc>
          <w:tcPr>
            <w:tcW w:type="dxa" w:w="2350"/>
          </w:tcPr>
          <w:p>
            <w:r>
              <w:t>Amharic-ready UX</w:t>
            </w:r>
          </w:p>
        </w:tc>
        <w:tc>
          <w:tcPr>
            <w:tcW w:type="dxa" w:w="3750"/>
          </w:tcPr>
          <w:p>
            <w:r>
              <w:t>Amharic/English labels, Ethiopian date preferences, ETB billing display, and local onboarding help.</w:t>
            </w:r>
          </w:p>
        </w:tc>
        <w:tc>
          <w:tcPr>
            <w:tcW w:type="dxa" w:w="3260"/>
          </w:tcPr>
          <w:p>
            <w:r>
              <w:t>Improves adoption among local teams.</w:t>
            </w:r>
          </w:p>
        </w:tc>
      </w:tr>
      <w:tr>
        <w:tc>
          <w:tcPr>
            <w:tcW w:type="dxa" w:w="2350"/>
          </w:tcPr>
          <w:p>
            <w:r>
              <w:t>Admin &amp; security</w:t>
            </w:r>
          </w:p>
        </w:tc>
        <w:tc>
          <w:tcPr>
            <w:tcW w:type="dxa" w:w="3750"/>
          </w:tcPr>
          <w:p>
            <w:r>
              <w:t>Role-based access, workspace controls, audit trail, backups, and 2-factor login roadmap.</w:t>
            </w:r>
          </w:p>
        </w:tc>
        <w:tc>
          <w:tcPr>
            <w:tcW w:type="dxa" w:w="3260"/>
          </w:tcPr>
          <w:p>
            <w:r>
              <w:t>Builds confidence for organizational use.</w:t>
            </w:r>
          </w:p>
        </w:tc>
      </w:tr>
    </w:tbl>
    <w:p>
      <w:pPr>
        <w:pStyle w:val="Heading1"/>
      </w:pPr>
      <w:r>
        <w:t>3. Ethio telecom / telebirr integration</w:t>
      </w:r>
    </w:p>
    <w:p>
      <w:r>
        <w:t>The recommended commercial integration is telebirr C2B web payment for paid workspace subscriptions. Ethio telecom documents C2B as a payment-gateway flow where customers pay businesses, and its developer portal also documents recurring subscription payments. This is a product proposal, not confirmation of merchant approval or API access.</w:t>
      </w:r>
    </w:p>
    <w:p>
      <w:pPr>
        <w:pStyle w:val="ListBullet"/>
      </w:pPr>
      <w:r>
        <w:t>Starter, Business, and Enterprise plans priced in ETB, with monthly and annual billing.</w:t>
      </w:r>
    </w:p>
    <w:p>
      <w:pPr>
        <w:pStyle w:val="ListBullet"/>
      </w:pPr>
      <w:r>
        <w:t>A “Pay with telebirr” checkout page that creates a server-side order, redirects the customer to the telebirr flow, and verifies the final callback before activating a plan.</w:t>
      </w:r>
    </w:p>
    <w:p>
      <w:pPr>
        <w:pStyle w:val="ListBullet"/>
      </w:pPr>
      <w:r>
        <w:t>Subscription mandate option for recurring plans, subject to Ethio telecom merchant onboarding and contract terms.</w:t>
      </w:r>
    </w:p>
    <w:p>
      <w:pPr>
        <w:pStyle w:val="ListBullet"/>
      </w:pPr>
      <w:r>
        <w:t>Billing ledger: invoice, payment status, provider reference, refund/adjustment workflow, and reconciliation export for finance staff.</w:t>
      </w:r>
    </w:p>
    <w:p>
      <w:pPr>
        <w:pStyle w:val="ListBullet"/>
      </w:pPr>
      <w:r>
        <w:t>SMS and email payment receipts; keep all payment secrets server-side and verify signatures/callbacks before changing subscription status.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3600"/>
        <w:gridCol w:w="366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Ethio telecom dependency</w:t>
            </w:r>
          </w:p>
        </w:tc>
      </w:tr>
      <w:tr>
        <w:tc>
          <w:tcPr>
            <w:tcW w:type="dxa" w:w="2100"/>
          </w:tcPr>
          <w:p>
            <w:r>
              <w:t>1. Commercial setup</w:t>
            </w:r>
          </w:p>
        </w:tc>
        <w:tc>
          <w:tcPr>
            <w:tcW w:type="dxa" w:w="3600"/>
          </w:tcPr>
          <w:p>
            <w:r>
              <w:t>Merchant registration, pricing, terms, privacy policy, and support process.</w:t>
            </w:r>
          </w:p>
        </w:tc>
        <w:tc>
          <w:tcPr>
            <w:tcW w:type="dxa" w:w="3660"/>
          </w:tcPr>
          <w:p>
            <w:r>
              <w:t>Approved merchant account, short code, application credentials, and applicable agreements.</w:t>
            </w:r>
          </w:p>
        </w:tc>
      </w:tr>
      <w:tr>
        <w:tc>
          <w:tcPr>
            <w:tcW w:type="dxa" w:w="2100"/>
          </w:tcPr>
          <w:p>
            <w:r>
              <w:t>2. Sandbox integration</w:t>
            </w:r>
          </w:p>
        </w:tc>
        <w:tc>
          <w:tcPr>
            <w:tcW w:type="dxa" w:w="3600"/>
          </w:tcPr>
          <w:p>
            <w:r>
              <w:t>Create-order service, checkout UI, callback endpoint, signature verification, and payment-status page.</w:t>
            </w:r>
          </w:p>
        </w:tc>
        <w:tc>
          <w:tcPr>
            <w:tcW w:type="dxa" w:w="3660"/>
          </w:tcPr>
          <w:p>
            <w:r>
              <w:t>Sandbox/API documentation and merchant test credentials.</w:t>
            </w:r>
          </w:p>
        </w:tc>
      </w:tr>
      <w:tr>
        <w:tc>
          <w:tcPr>
            <w:tcW w:type="dxa" w:w="2100"/>
          </w:tcPr>
          <w:p>
            <w:r>
              <w:t>3. Pilot launch</w:t>
            </w:r>
          </w:p>
        </w:tc>
        <w:tc>
          <w:tcPr>
            <w:tcW w:type="dxa" w:w="3600"/>
          </w:tcPr>
          <w:p>
            <w:r>
              <w:t>One paid plan, reconciliation report, customer support playbook, and monitoring.</w:t>
            </w:r>
          </w:p>
        </w:tc>
        <w:tc>
          <w:tcPr>
            <w:tcW w:type="dxa" w:w="3660"/>
          </w:tcPr>
          <w:p>
            <w:r>
              <w:t>Production approval and a confirmed payment notification process.</w:t>
            </w:r>
          </w:p>
        </w:tc>
      </w:tr>
      <w:tr>
        <w:tc>
          <w:tcPr>
            <w:tcW w:type="dxa" w:w="2100"/>
          </w:tcPr>
          <w:p>
            <w:r>
              <w:t>4. Recurring billing</w:t>
            </w:r>
          </w:p>
        </w:tc>
        <w:tc>
          <w:tcPr>
            <w:tcW w:type="dxa" w:w="3600"/>
          </w:tcPr>
          <w:p>
            <w:r>
              <w:t>Subscription mandate flow, cancellation controls, dunning/reminder policy, and finance reporting.</w:t>
            </w:r>
          </w:p>
        </w:tc>
        <w:tc>
          <w:tcPr>
            <w:tcW w:type="dxa" w:w="3660"/>
          </w:tcPr>
          <w:p>
            <w:r>
              <w:t>Subscription-payment authorization and contractual terms.</w:t>
            </w:r>
          </w:p>
        </w:tc>
      </w:tr>
    </w:tbl>
    <w:p>
      <w:pPr>
        <w:pStyle w:val="Heading1"/>
      </w:pPr>
      <w:r>
        <w:t>4. Launch priorities</w:t>
      </w:r>
    </w:p>
    <w:p>
      <w:pPr>
        <w:pStyle w:val="ListNumber"/>
      </w:pPr>
      <w:r>
        <w:t>Secure the selected domain and configure HTTPS, branded email, and a simple landing page.</w:t>
      </w:r>
    </w:p>
    <w:p>
      <w:pPr>
        <w:pStyle w:val="ListNumber"/>
      </w:pPr>
      <w:r>
        <w:t>Finish mobile-responsive task creation, Amharic/English language support, and workspace invite flow.</w:t>
      </w:r>
    </w:p>
    <w:p>
      <w:pPr>
        <w:pStyle w:val="ListNumber"/>
      </w:pPr>
      <w:r>
        <w:t>Add plan management and a payment abstraction layer before connecting the telebirr gateway.</w:t>
      </w:r>
    </w:p>
    <w:p>
      <w:pPr>
        <w:pStyle w:val="ListNumber"/>
      </w:pPr>
      <w:r>
        <w:t>Complete security review: password policy, rate limiting, audit logging, backup/recovery, and payment callback validation.</w:t>
      </w:r>
    </w:p>
    <w:p>
      <w:pPr>
        <w:pStyle w:val="ListNumber"/>
      </w:pPr>
      <w:r>
        <w:t>Run a small pilot with 5–10 Ethiopian organizations, then revise onboarding and pricing from actual usage.</w:t>
      </w:r>
    </w:p>
    <w:p>
      <w:pPr>
        <w:pStyle w:val="Heading1"/>
      </w:pPr>
      <w:r>
        <w:t>5. Key assumptions and next decision</w:t>
      </w:r>
    </w:p>
    <w:p>
      <w:r>
        <w:t>This proposal assumes the product will initially target Ethiopian SMEs, NGOs, agencies, and department teams. The preferred decision is to reserve sira.et (or the selected fallback), validate legal/domain availability, and begin merchant-onboarding conversations with Ethio telecom before committing to a public payment launch.</w:t>
      </w:r>
    </w:p>
    <w:p>
      <w:pPr>
        <w:pStyle w:val="Heading1"/>
      </w:pPr>
      <w:r>
        <w:t>Sources</w:t>
      </w:r>
    </w:p>
    <w:p>
      <w:pPr>
        <w:spacing w:after="60"/>
      </w:pPr>
      <w:r>
        <w:rPr>
          <w:b/>
          <w:sz w:val="18"/>
        </w:rPr>
        <w:t xml:space="preserve">Ethio telecom Developer Portal - telebirr Payment Gateway Integration Options: </w:t>
      </w:r>
      <w:r>
        <w:rPr>
          <w:color w:val="2E74B5"/>
          <w:sz w:val="18"/>
        </w:rPr>
        <w:t>https://developer.ethiotelecom.et/docs/GettingStarted</w:t>
      </w:r>
    </w:p>
    <w:p>
      <w:pPr>
        <w:spacing w:after="60"/>
      </w:pPr>
      <w:r>
        <w:rPr>
          <w:b/>
          <w:sz w:val="18"/>
        </w:rPr>
        <w:t xml:space="preserve">Ethio telecom Developer Portal - H5 C2B Web Payment Integration Quick Guide: </w:t>
      </w:r>
      <w:r>
        <w:rPr>
          <w:color w:val="2E74B5"/>
          <w:sz w:val="18"/>
        </w:rPr>
        <w:t>https://developer.ethiotelecom.et/docs/H5%20C2B%20Web%20Payment%20Integration%20Quick%20Guide/Introduction</w:t>
      </w:r>
    </w:p>
    <w:p>
      <w:pPr>
        <w:spacing w:after="60"/>
      </w:pPr>
      <w:r>
        <w:rPr>
          <w:b/>
          <w:sz w:val="18"/>
        </w:rPr>
        <w:t xml:space="preserve">Ethio telecom - telebirr service information: </w:t>
      </w:r>
      <w:r>
        <w:rPr>
          <w:color w:val="2E74B5"/>
          <w:sz w:val="18"/>
        </w:rPr>
        <w:t>https://www.ethiotelecom.et/telebirr/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Prepared 18 August 2026 | Draft for product and partnership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SIRA | DOMAIN AND FEATURE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Sira Domain and Feature Proposal</dc:title>
  <dc:subject>Asana-style work-management platform domain, product features, and Ethio telecom / telebirr integration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