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Symbolic ProofRank Benchmark</w:t>
      </w:r>
    </w:p>
    <w:p>
      <w:pPr>
        <w:pStyle w:val="Subtitle"/>
      </w:pPr>
      <w:r>
        <w:t xml:space="preserve">Current MIND-small accuracy and real-time performance</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200"/>
        <w:gridCol w:w="6800"/>
      </w:tblGrid>
      <w:tr>
        <w:trPr>
          <w:tblHeader/>
        </w:trPr>
        <w:tc>
          <w:tcPr>
            <w:tcW w:w="2200" w:type="dxa"/>
            <w:shd w:val="clear" w:fill="0F766E"/>
            <w:tcMar>
              <w:top w:w="80" w:type="dxa"/>
              <w:left w:w="100" w:type="dxa"/>
              <w:bottom w:w="80" w:type="dxa"/>
              <w:right w:w="100" w:type="dxa"/>
            </w:tcMar>
          </w:tcPr>
          <w:p>
            <w:pPr>
              <w:pStyle w:val="TableText"/>
              <w:spacing w:after="70"/>
            </w:pPr>
            <w:r>
              <w:rPr>
                <w:b/>
                <w:color w:val="FFFFFF"/>
                <w:sz w:val="19"/>
                <w:szCs w:val="19"/>
              </w:rPr>
              <w:t xml:space="preserve">Document</w:t>
            </w:r>
          </w:p>
        </w:tc>
        <w:tc>
          <w:tcPr>
            <w:tcW w:w="6800" w:type="dxa"/>
            <w:shd w:val="clear" w:fill="0F766E"/>
            <w:tcMar>
              <w:top w:w="80" w:type="dxa"/>
              <w:left w:w="100" w:type="dxa"/>
              <w:bottom w:w="80" w:type="dxa"/>
              <w:right w:w="100" w:type="dxa"/>
            </w:tcMar>
          </w:tcPr>
          <w:p>
            <w:pPr>
              <w:pStyle w:val="TableText"/>
              <w:spacing w:after="70"/>
            </w:pPr>
            <w:r>
              <w:rPr>
                <w:b/>
                <w:color w:val="FFFFFF"/>
                <w:sz w:val="19"/>
                <w:szCs w:val="19"/>
              </w:rPr>
              <w:t xml:space="preserve">Value</w:t>
            </w:r>
          </w:p>
        </w:tc>
      </w:tr>
      <w:tr>
        <w:tc>
          <w:tcPr>
            <w:tcW w:w="2200" w:type="dxa"/>
            <w:shd w:val="clear" w:fill="FFFFFF"/>
            <w:tcMar>
              <w:top w:w="80" w:type="dxa"/>
              <w:left w:w="100" w:type="dxa"/>
              <w:bottom w:w="80" w:type="dxa"/>
              <w:right w:w="100" w:type="dxa"/>
            </w:tcMar>
          </w:tcPr>
          <w:p>
            <w:pPr>
              <w:pStyle w:val="TableText"/>
              <w:spacing w:after="70"/>
            </w:pPr>
            <w:r>
              <w:rPr>
                <w:color w:val="172033"/>
                <w:sz w:val="19"/>
                <w:szCs w:val="19"/>
              </w:rPr>
              <w:t xml:space="preserve">Type</w:t>
            </w:r>
          </w:p>
        </w:tc>
        <w:tc>
          <w:tcPr>
            <w:tcW w:w="6800" w:type="dxa"/>
            <w:shd w:val="clear" w:fill="FFFFFF"/>
            <w:tcMar>
              <w:top w:w="80" w:type="dxa"/>
              <w:left w:w="100" w:type="dxa"/>
              <w:bottom w:w="80" w:type="dxa"/>
              <w:right w:w="100" w:type="dxa"/>
            </w:tcMar>
          </w:tcPr>
          <w:p>
            <w:pPr>
              <w:pStyle w:val="TableText"/>
              <w:spacing w:after="70"/>
            </w:pPr>
            <w:r>
              <w:rPr>
                <w:color w:val="172033"/>
                <w:sz w:val="19"/>
                <w:szCs w:val="19"/>
              </w:rPr>
              <w:t xml:space="preserve">Engineering benchmark report</w:t>
            </w:r>
          </w:p>
        </w:tc>
      </w:tr>
      <w:tr>
        <w:tc>
          <w:tcPr>
            <w:tcW w:w="2200" w:type="dxa"/>
            <w:shd w:val="clear" w:fill="F8FAFC"/>
            <w:tcMar>
              <w:top w:w="80" w:type="dxa"/>
              <w:left w:w="100" w:type="dxa"/>
              <w:bottom w:w="80" w:type="dxa"/>
              <w:right w:w="100" w:type="dxa"/>
            </w:tcMar>
          </w:tcPr>
          <w:p>
            <w:pPr>
              <w:pStyle w:val="TableText"/>
              <w:spacing w:after="70"/>
            </w:pPr>
            <w:r>
              <w:rPr>
                <w:color w:val="172033"/>
                <w:sz w:val="19"/>
                <w:szCs w:val="19"/>
              </w:rPr>
              <w:t xml:space="preserve">Version</w:t>
            </w:r>
          </w:p>
        </w:tc>
        <w:tc>
          <w:tcPr>
            <w:tcW w:w="6800" w:type="dxa"/>
            <w:shd w:val="clear" w:fill="F8FAFC"/>
            <w:tcMar>
              <w:top w:w="80" w:type="dxa"/>
              <w:left w:w="100" w:type="dxa"/>
              <w:bottom w:w="80" w:type="dxa"/>
              <w:right w:w="100" w:type="dxa"/>
            </w:tcMar>
          </w:tcPr>
          <w:p>
            <w:pPr>
              <w:pStyle w:val="TableText"/>
              <w:spacing w:after="70"/>
            </w:pPr>
            <w:r>
              <w:rPr>
                <w:color w:val="172033"/>
                <w:sz w:val="19"/>
                <w:szCs w:val="19"/>
              </w:rPr>
              <w:t xml:space="preserve">1.0</w:t>
            </w:r>
          </w:p>
        </w:tc>
      </w:tr>
      <w:tr>
        <w:tc>
          <w:tcPr>
            <w:tcW w:w="2200" w:type="dxa"/>
            <w:shd w:val="clear" w:fill="FFFFFF"/>
            <w:tcMar>
              <w:top w:w="80" w:type="dxa"/>
              <w:left w:w="100" w:type="dxa"/>
              <w:bottom w:w="80" w:type="dxa"/>
              <w:right w:w="100" w:type="dxa"/>
            </w:tcMar>
          </w:tcPr>
          <w:p>
            <w:pPr>
              <w:pStyle w:val="TableText"/>
              <w:spacing w:after="70"/>
            </w:pPr>
            <w:r>
              <w:rPr>
                <w:color w:val="172033"/>
                <w:sz w:val="19"/>
                <w:szCs w:val="19"/>
              </w:rPr>
              <w:t xml:space="preserve">Evidence cutoff</w:t>
            </w:r>
          </w:p>
        </w:tc>
        <w:tc>
          <w:tcPr>
            <w:tcW w:w="6800" w:type="dxa"/>
            <w:shd w:val="clear" w:fill="FFFFFF"/>
            <w:tcMar>
              <w:top w:w="80" w:type="dxa"/>
              <w:left w:w="100" w:type="dxa"/>
              <w:bottom w:w="80" w:type="dxa"/>
              <w:right w:w="100" w:type="dxa"/>
            </w:tcMar>
          </w:tcPr>
          <w:p>
            <w:pPr>
              <w:pStyle w:val="TableText"/>
              <w:spacing w:after="70"/>
            </w:pPr>
            <w:r>
              <w:rPr>
                <w:color w:val="172033"/>
                <w:sz w:val="19"/>
                <w:szCs w:val="19"/>
              </w:rPr>
              <w:t xml:space="preserve">10 September 2026</w:t>
            </w:r>
          </w:p>
        </w:tc>
      </w:tr>
      <w:tr>
        <w:tc>
          <w:tcPr>
            <w:tcW w:w="2200" w:type="dxa"/>
            <w:shd w:val="clear" w:fill="F8FAFC"/>
            <w:tcMar>
              <w:top w:w="80" w:type="dxa"/>
              <w:left w:w="100" w:type="dxa"/>
              <w:bottom w:w="80" w:type="dxa"/>
              <w:right w:w="100" w:type="dxa"/>
            </w:tcMar>
          </w:tcPr>
          <w:p>
            <w:pPr>
              <w:pStyle w:val="TableText"/>
              <w:spacing w:after="70"/>
            </w:pPr>
            <w:r>
              <w:rPr>
                <w:color w:val="172033"/>
                <w:sz w:val="19"/>
                <w:szCs w:val="19"/>
              </w:rPr>
              <w:t xml:space="preserve">Audience</w:t>
            </w:r>
          </w:p>
        </w:tc>
        <w:tc>
          <w:tcPr>
            <w:tcW w:w="6800" w:type="dxa"/>
            <w:shd w:val="clear" w:fill="F8FAFC"/>
            <w:tcMar>
              <w:top w:w="80" w:type="dxa"/>
              <w:left w:w="100" w:type="dxa"/>
              <w:bottom w:w="80" w:type="dxa"/>
              <w:right w:w="100" w:type="dxa"/>
            </w:tcMar>
          </w:tcPr>
          <w:p>
            <w:pPr>
              <w:pStyle w:val="TableText"/>
              <w:spacing w:after="70"/>
            </w:pPr>
            <w:r>
              <w:rPr>
                <w:color w:val="172033"/>
                <w:sz w:val="19"/>
                <w:szCs w:val="19"/>
              </w:rPr>
              <w:t xml:space="preserve">Independent engineering and research teams</w:t>
            </w:r>
          </w:p>
        </w:tc>
      </w:tr>
    </w:tbl>
    <w:p>
      <w:pPr>
        <w:spacing w:after="100"/>
      </w:pPr>
    </w:p>
    <w:tbl>
      <w:tblPr>
        <w:tblW w:w="0" w:type="auto"/>
        <w:tblCellMar>
          <w:top w:w="120" w:type="dxa"/>
          <w:left w:w="180" w:type="dxa"/>
          <w:bottom w:w="120" w:type="dxa"/>
          <w:right w:w="180" w:type="dxa"/>
        </w:tblCellMar>
      </w:tblPr>
      <w:tblGrid>
        <w:gridCol w:w="9000"/>
      </w:tblGrid>
      <w:tr>
        <w:tc>
          <w:tcPr>
            <w:shd w:val="clear" w:fill="EFF6FF"/>
            <w:tcBorders>
              <w:left w:val="single" w:sz="18" w:color="1D4ED8"/>
              <w:top w:val="nil"/>
              <w:bottom w:val="nil"/>
              <w:right w:val="nil"/>
            </w:tcBorders>
          </w:tcPr>
          <w:p>
            <w:pPr>
              <w:spacing w:after="60"/>
            </w:pPr>
            <w:r>
              <w:rPr>
                <w:b/>
                <w:color w:val="1D4ED8"/>
              </w:rPr>
              <w:t xml:space="preserve">Reading convention</w:t>
            </w:r>
          </w:p>
          <w:p>
            <w:pPr>
              <w:spacing w:after="0"/>
            </w:pPr>
            <w:r>
              <w:t xml:space="preserve">CURRENT means implemented and exercised. TARGET means part of the agreed replication architecture but not yet established by the reported benchmark. EXPERIMENTAL means implemented and measured without promotion.</w:t>
            </w:r>
          </w:p>
        </w:tc>
      </w:tr>
    </w:tbl>
    <w:p>
      <w:pPr>
        <w:spacing w:after="80"/>
      </w:pPr>
    </w:p>
    <w:p>
      <w:r>
        <w:br w:type="page"/>
      </w:r>
    </w:p>
    <w:p>
      <w:pPr>
        <w:pStyle w:val="Heading1"/>
        <w:keepNext/>
      </w:pPr>
      <w:r>
        <w:t xml:space="preserve">1. Benchmark purpose</w:t>
      </w:r>
    </w:p>
    <w:p>
      <w:pPr>
        <w:pStyle w:val="Normal"/>
      </w:pPr>
      <w:r>
        <w:t xml:space="preserve">This report describes the currently evaluated symbolic recommendation architecture and the measurements obtained from it. The purpose is to establish whether the approach is accurate enough, explainable enough and operationally concrete enough to justify continued development toward a production recommendation service.</w:t>
      </w:r>
    </w:p>
    <w:tbl>
      <w:tblPr>
        <w:tblW w:w="0" w:type="auto"/>
        <w:tblCellMar>
          <w:top w:w="120" w:type="dxa"/>
          <w:left w:w="180" w:type="dxa"/>
          <w:bottom w:w="120" w:type="dxa"/>
          <w:right w:w="180" w:type="dxa"/>
        </w:tblCellMar>
      </w:tblPr>
      <w:tblGrid>
        <w:gridCol w:w="9000"/>
      </w:tblGrid>
      <w:tr>
        <w:tc>
          <w:tcPr>
            <w:shd w:val="clear" w:fill="ECFDF5"/>
            <w:tcBorders>
              <w:left w:val="single" w:sz="18" w:color="0F766E"/>
              <w:top w:val="nil"/>
              <w:bottom w:val="nil"/>
              <w:right w:val="nil"/>
            </w:tcBorders>
          </w:tcPr>
          <w:p>
            <w:pPr>
              <w:spacing w:after="60"/>
            </w:pPr>
            <w:r>
              <w:rPr>
                <w:b/>
                <w:color w:val="0F766E"/>
              </w:rPr>
              <w:t xml:space="preserve">Measured result</w:t>
            </w:r>
          </w:p>
          <w:p>
            <w:pPr>
              <w:spacing w:after="0"/>
            </w:pPr>
            <w:r>
              <w:t xml:space="preserve">Served AUC 0.689085; proof-derived AUC 0.689055; MRR 0.3416; nDCG@5 0.3799; nDCG@10 0.4387 on 500 complete MIND-small development impressions and 18,139 candidates.</w:t>
            </w:r>
          </w:p>
        </w:tc>
      </w:tr>
    </w:tbl>
    <w:p>
      <w:pPr>
        <w:spacing w:after="80"/>
      </w:pPr>
    </w:p>
    <w:p>
      <w:pPr>
        <w:pStyle w:val="Normal"/>
      </w:pPr>
      <w:r>
        <w:t xml:space="preserve">The result shows that a recommendation order can be produced from mined symbolic relationships and PeTTaChainer proofs while retaining explicit rule and fact provenance. In this configured run, pairwise proof-derived evidence provides the principal ranking signal; point rules remain available for candidate-level explanation and diagnostics.</w:t>
      </w:r>
    </w:p>
    <w:p>
      <w:pPr>
        <w:pStyle w:val="Heading1"/>
        <w:keepNext/>
      </w:pPr>
      <w:r>
        <w:t xml:space="preserve">2. Data used</w:t>
      </w:r>
    </w:p>
    <w:p>
      <w:pPr>
        <w:pStyle w:val="Normal"/>
      </w:pPr>
      <w:r>
        <w:t xml:space="preserve">The benchmark uses MIND-small, Microsoft's public sample of anonymized news behavior logs. An impression is one recommendation opportunity containing the user's preceding click history and a slate of articles displayed together. Each displayed article is labeled clicked or not clicked. Complete evaluation slates are preserved so every clicked article is compared with the alternatives that were shown at the same time.</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600"/>
        <w:gridCol w:w="2700"/>
        <w:gridCol w:w="3700"/>
      </w:tblGrid>
      <w:tr>
        <w:trPr>
          <w:tblHeader/>
        </w:trPr>
        <w:tc>
          <w:tcPr>
            <w:tcW w:w="2600" w:type="dxa"/>
            <w:shd w:val="clear" w:fill="0F766E"/>
            <w:tcMar>
              <w:top w:w="80" w:type="dxa"/>
              <w:left w:w="100" w:type="dxa"/>
              <w:bottom w:w="80" w:type="dxa"/>
              <w:right w:w="100" w:type="dxa"/>
            </w:tcMar>
          </w:tcPr>
          <w:p>
            <w:pPr>
              <w:pStyle w:val="TableText"/>
              <w:spacing w:after="70"/>
            </w:pPr>
            <w:r>
              <w:rPr>
                <w:b/>
                <w:color w:val="FFFFFF"/>
                <w:sz w:val="19"/>
                <w:szCs w:val="19"/>
              </w:rPr>
              <w:t xml:space="preserve">Quantity</w:t>
            </w:r>
          </w:p>
        </w:tc>
        <w:tc>
          <w:tcPr>
            <w:tcW w:w="2700" w:type="dxa"/>
            <w:shd w:val="clear" w:fill="0F766E"/>
            <w:tcMar>
              <w:top w:w="80" w:type="dxa"/>
              <w:left w:w="100" w:type="dxa"/>
              <w:bottom w:w="80" w:type="dxa"/>
              <w:right w:w="100" w:type="dxa"/>
            </w:tcMar>
          </w:tcPr>
          <w:p>
            <w:pPr>
              <w:pStyle w:val="TableText"/>
              <w:spacing w:after="70"/>
            </w:pPr>
            <w:r>
              <w:rPr>
                <w:b/>
                <w:color w:val="FFFFFF"/>
                <w:sz w:val="19"/>
                <w:szCs w:val="19"/>
              </w:rPr>
              <w:t xml:space="preserve">Value</w:t>
            </w:r>
          </w:p>
        </w:tc>
        <w:tc>
          <w:tcPr>
            <w:tcW w:w="3700" w:type="dxa"/>
            <w:shd w:val="clear" w:fill="0F766E"/>
            <w:tcMar>
              <w:top w:w="80" w:type="dxa"/>
              <w:left w:w="100" w:type="dxa"/>
              <w:bottom w:w="80" w:type="dxa"/>
              <w:right w:w="100" w:type="dxa"/>
            </w:tcMar>
          </w:tcPr>
          <w:p>
            <w:pPr>
              <w:pStyle w:val="TableText"/>
              <w:spacing w:after="70"/>
            </w:pPr>
            <w:r>
              <w:rPr>
                <w:b/>
                <w:color w:val="FFFFFF"/>
                <w:sz w:val="19"/>
                <w:szCs w:val="19"/>
              </w:rPr>
              <w:t xml:space="preserve">Interpretation</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Source</w:t>
            </w:r>
          </w:p>
        </w:tc>
        <w:tc>
          <w:tcPr>
            <w:tcW w:w="2700" w:type="dxa"/>
            <w:shd w:val="clear" w:fill="FFFFFF"/>
            <w:tcMar>
              <w:top w:w="80" w:type="dxa"/>
              <w:left w:w="100" w:type="dxa"/>
              <w:bottom w:w="80" w:type="dxa"/>
              <w:right w:w="100" w:type="dxa"/>
            </w:tcMar>
          </w:tcPr>
          <w:p>
            <w:pPr>
              <w:pStyle w:val="TableText"/>
              <w:spacing w:after="70"/>
            </w:pPr>
            <w:r>
              <w:rPr>
                <w:color w:val="172033"/>
                <w:sz w:val="19"/>
                <w:szCs w:val="19"/>
              </w:rPr>
              <w:t xml:space="preserve">MIND-small</w:t>
            </w:r>
          </w:p>
        </w:tc>
        <w:tc>
          <w:tcPr>
            <w:tcW w:w="3700" w:type="dxa"/>
            <w:shd w:val="clear" w:fill="FFFFFF"/>
            <w:tcMar>
              <w:top w:w="80" w:type="dxa"/>
              <w:left w:w="100" w:type="dxa"/>
              <w:bottom w:w="80" w:type="dxa"/>
              <w:right w:w="100" w:type="dxa"/>
            </w:tcMar>
          </w:tcPr>
          <w:p>
            <w:pPr>
              <w:pStyle w:val="TableText"/>
              <w:spacing w:after="70"/>
            </w:pPr>
            <w:r>
              <w:rPr>
                <w:color w:val="172033"/>
                <w:sz w:val="19"/>
                <w:szCs w:val="19"/>
              </w:rPr>
              <w:t xml:space="preserve">Public Microsoft research dataset.</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Projection</w:t>
            </w:r>
          </w:p>
        </w:tc>
        <w:tc>
          <w:tcPr>
            <w:tcW w:w="2700" w:type="dxa"/>
            <w:shd w:val="clear" w:fill="F8FAFC"/>
            <w:tcMar>
              <w:top w:w="80" w:type="dxa"/>
              <w:left w:w="100" w:type="dxa"/>
              <w:bottom w:w="80" w:type="dxa"/>
              <w:right w:w="100" w:type="dxa"/>
            </w:tcMar>
          </w:tcPr>
          <w:p>
            <w:pPr>
              <w:pStyle w:val="TableText"/>
              <w:spacing w:after="70"/>
            </w:pPr>
            <w:r>
              <w:rPr>
                <w:color w:val="172033"/>
                <w:sz w:val="19"/>
                <w:szCs w:val="19"/>
              </w:rPr>
              <w:t xml:space="preserve">RecZoo MIND_small_x1</w:t>
            </w:r>
          </w:p>
        </w:tc>
        <w:tc>
          <w:tcPr>
            <w:tcW w:w="3700" w:type="dxa"/>
            <w:shd w:val="clear" w:fill="F8FAFC"/>
            <w:tcMar>
              <w:top w:w="80" w:type="dxa"/>
              <w:left w:w="100" w:type="dxa"/>
              <w:bottom w:w="80" w:type="dxa"/>
              <w:right w:w="100" w:type="dxa"/>
            </w:tcMar>
          </w:tcPr>
          <w:p>
            <w:pPr>
              <w:pStyle w:val="TableText"/>
              <w:spacing w:after="70"/>
            </w:pPr>
            <w:r>
              <w:rPr>
                <w:color w:val="172033"/>
                <w:sz w:val="19"/>
                <w:szCs w:val="19"/>
              </w:rPr>
              <w:t xml:space="preserve">Adapter representation used by this experiment.</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Random seed</w:t>
            </w:r>
          </w:p>
        </w:tc>
        <w:tc>
          <w:tcPr>
            <w:tcW w:w="2700" w:type="dxa"/>
            <w:shd w:val="clear" w:fill="FFFFFF"/>
            <w:tcMar>
              <w:top w:w="80" w:type="dxa"/>
              <w:left w:w="100" w:type="dxa"/>
              <w:bottom w:w="80" w:type="dxa"/>
              <w:right w:w="100" w:type="dxa"/>
            </w:tcMar>
          </w:tcPr>
          <w:p>
            <w:pPr>
              <w:pStyle w:val="TableText"/>
              <w:spacing w:after="70"/>
            </w:pPr>
            <w:r>
              <w:rPr>
                <w:color w:val="172033"/>
                <w:sz w:val="19"/>
                <w:szCs w:val="19"/>
              </w:rPr>
              <w:t xml:space="preserve">7</w:t>
            </w:r>
          </w:p>
        </w:tc>
        <w:tc>
          <w:tcPr>
            <w:tcW w:w="3700" w:type="dxa"/>
            <w:shd w:val="clear" w:fill="FFFFFF"/>
            <w:tcMar>
              <w:top w:w="80" w:type="dxa"/>
              <w:left w:w="100" w:type="dxa"/>
              <w:bottom w:w="80" w:type="dxa"/>
              <w:right w:w="100" w:type="dxa"/>
            </w:tcMar>
          </w:tcPr>
          <w:p>
            <w:pPr>
              <w:pStyle w:val="TableText"/>
              <w:spacing w:after="70"/>
            </w:pPr>
            <w:r>
              <w:rPr>
                <w:color w:val="172033"/>
                <w:sz w:val="19"/>
                <w:szCs w:val="19"/>
              </w:rPr>
              <w:t xml:space="preserve">Deterministic hash-priority sampling and replay.</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Training source rows scanned</w:t>
            </w:r>
          </w:p>
        </w:tc>
        <w:tc>
          <w:tcPr>
            <w:tcW w:w="2700" w:type="dxa"/>
            <w:shd w:val="clear" w:fill="F8FAFC"/>
            <w:tcMar>
              <w:top w:w="80" w:type="dxa"/>
              <w:left w:w="100" w:type="dxa"/>
              <w:bottom w:w="80" w:type="dxa"/>
              <w:right w:w="100" w:type="dxa"/>
            </w:tcMar>
          </w:tcPr>
          <w:p>
            <w:pPr>
              <w:pStyle w:val="TableText"/>
              <w:spacing w:after="70"/>
            </w:pPr>
            <w:r>
              <w:rPr>
                <w:color w:val="172033"/>
                <w:sz w:val="19"/>
                <w:szCs w:val="19"/>
              </w:rPr>
              <w:t xml:space="preserve">5,843,444</w:t>
            </w:r>
          </w:p>
        </w:tc>
        <w:tc>
          <w:tcPr>
            <w:tcW w:w="3700" w:type="dxa"/>
            <w:shd w:val="clear" w:fill="F8FAFC"/>
            <w:tcMar>
              <w:top w:w="80" w:type="dxa"/>
              <w:left w:w="100" w:type="dxa"/>
              <w:bottom w:w="80" w:type="dxa"/>
              <w:right w:w="100" w:type="dxa"/>
            </w:tcMar>
          </w:tcPr>
          <w:p>
            <w:pPr>
              <w:pStyle w:val="TableText"/>
              <w:spacing w:after="70"/>
            </w:pPr>
            <w:r>
              <w:rPr>
                <w:color w:val="172033"/>
                <w:sz w:val="19"/>
                <w:szCs w:val="19"/>
              </w:rPr>
              <w:t xml:space="preserve">All candidate rows were scanned before retaining whole training impressions.</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Training population retained</w:t>
            </w:r>
          </w:p>
        </w:tc>
        <w:tc>
          <w:tcPr>
            <w:tcW w:w="2700" w:type="dxa"/>
            <w:shd w:val="clear" w:fill="FFFFFF"/>
            <w:tcMar>
              <w:top w:w="80" w:type="dxa"/>
              <w:left w:w="100" w:type="dxa"/>
              <w:bottom w:w="80" w:type="dxa"/>
              <w:right w:w="100" w:type="dxa"/>
            </w:tcMar>
          </w:tcPr>
          <w:p>
            <w:pPr>
              <w:pStyle w:val="TableText"/>
              <w:spacing w:after="70"/>
            </w:pPr>
            <w:r>
              <w:rPr>
                <w:color w:val="172033"/>
                <w:sz w:val="19"/>
                <w:szCs w:val="19"/>
              </w:rPr>
              <w:t xml:space="preserve">19,996 exposures; 549 complete impressions</w:t>
            </w:r>
          </w:p>
        </w:tc>
        <w:tc>
          <w:tcPr>
            <w:tcW w:w="3700" w:type="dxa"/>
            <w:shd w:val="clear" w:fill="FFFFFF"/>
            <w:tcMar>
              <w:top w:w="80" w:type="dxa"/>
              <w:left w:w="100" w:type="dxa"/>
              <w:bottom w:w="80" w:type="dxa"/>
              <w:right w:w="100" w:type="dxa"/>
            </w:tcMar>
          </w:tcPr>
          <w:p>
            <w:pPr>
              <w:pStyle w:val="TableText"/>
              <w:spacing w:after="70"/>
            </w:pPr>
            <w:r>
              <w:rPr>
                <w:color w:val="172033"/>
                <w:sz w:val="19"/>
                <w:szCs w:val="19"/>
              </w:rPr>
              <w:t xml:space="preserve">Closed historical opportunities used for mining and in-sample CTV estimation.</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Evaluation source rows scanned</w:t>
            </w:r>
          </w:p>
        </w:tc>
        <w:tc>
          <w:tcPr>
            <w:tcW w:w="2700" w:type="dxa"/>
            <w:shd w:val="clear" w:fill="F8FAFC"/>
            <w:tcMar>
              <w:top w:w="80" w:type="dxa"/>
              <w:left w:w="100" w:type="dxa"/>
              <w:bottom w:w="80" w:type="dxa"/>
              <w:right w:w="100" w:type="dxa"/>
            </w:tcMar>
          </w:tcPr>
          <w:p>
            <w:pPr>
              <w:pStyle w:val="TableText"/>
              <w:spacing w:after="70"/>
            </w:pPr>
            <w:r>
              <w:rPr>
                <w:color w:val="172033"/>
                <w:sz w:val="19"/>
                <w:szCs w:val="19"/>
              </w:rPr>
              <w:t xml:space="preserve">2,740,998</w:t>
            </w:r>
          </w:p>
        </w:tc>
        <w:tc>
          <w:tcPr>
            <w:tcW w:w="3700" w:type="dxa"/>
            <w:shd w:val="clear" w:fill="F8FAFC"/>
            <w:tcMar>
              <w:top w:w="80" w:type="dxa"/>
              <w:left w:w="100" w:type="dxa"/>
              <w:bottom w:w="80" w:type="dxa"/>
              <w:right w:w="100" w:type="dxa"/>
            </w:tcMar>
          </w:tcPr>
          <w:p>
            <w:pPr>
              <w:pStyle w:val="TableText"/>
              <w:spacing w:after="70"/>
            </w:pPr>
            <w:r>
              <w:rPr>
                <w:color w:val="172033"/>
                <w:sz w:val="19"/>
                <w:szCs w:val="19"/>
              </w:rPr>
              <w:t xml:space="preserve">Validation candidate rows inspected by the adapter.</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Evaluation cohort</w:t>
            </w:r>
          </w:p>
        </w:tc>
        <w:tc>
          <w:tcPr>
            <w:tcW w:w="2700" w:type="dxa"/>
            <w:shd w:val="clear" w:fill="FFFFFF"/>
            <w:tcMar>
              <w:top w:w="80" w:type="dxa"/>
              <w:left w:w="100" w:type="dxa"/>
              <w:bottom w:w="80" w:type="dxa"/>
              <w:right w:w="100" w:type="dxa"/>
            </w:tcMar>
          </w:tcPr>
          <w:p>
            <w:pPr>
              <w:pStyle w:val="TableText"/>
              <w:spacing w:after="70"/>
            </w:pPr>
            <w:r>
              <w:rPr>
                <w:color w:val="172033"/>
                <w:sz w:val="19"/>
                <w:szCs w:val="19"/>
              </w:rPr>
              <w:t xml:space="preserve">500 complete impressions; 500 users</w:t>
            </w:r>
          </w:p>
        </w:tc>
        <w:tc>
          <w:tcPr>
            <w:tcW w:w="3700" w:type="dxa"/>
            <w:shd w:val="clear" w:fill="FFFFFF"/>
            <w:tcMar>
              <w:top w:w="80" w:type="dxa"/>
              <w:left w:w="100" w:type="dxa"/>
              <w:bottom w:w="80" w:type="dxa"/>
              <w:right w:w="100" w:type="dxa"/>
            </w:tcMar>
          </w:tcPr>
          <w:p>
            <w:pPr>
              <w:pStyle w:val="TableText"/>
              <w:spacing w:after="70"/>
            </w:pPr>
            <w:r>
              <w:rPr>
                <w:color w:val="172033"/>
                <w:sz w:val="19"/>
                <w:szCs w:val="19"/>
              </w:rPr>
              <w:t xml:space="preserve">One development impression per retained user in this projection.</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Evaluation candidates</w:t>
            </w:r>
          </w:p>
        </w:tc>
        <w:tc>
          <w:tcPr>
            <w:tcW w:w="2700" w:type="dxa"/>
            <w:shd w:val="clear" w:fill="F8FAFC"/>
            <w:tcMar>
              <w:top w:w="80" w:type="dxa"/>
              <w:left w:w="100" w:type="dxa"/>
              <w:bottom w:w="80" w:type="dxa"/>
              <w:right w:w="100" w:type="dxa"/>
            </w:tcMar>
          </w:tcPr>
          <w:p>
            <w:pPr>
              <w:pStyle w:val="TableText"/>
              <w:spacing w:after="70"/>
            </w:pPr>
            <w:r>
              <w:rPr>
                <w:color w:val="172033"/>
                <w:sz w:val="19"/>
                <w:szCs w:val="19"/>
              </w:rPr>
              <w:t xml:space="preserve">18,139</w:t>
            </w:r>
          </w:p>
        </w:tc>
        <w:tc>
          <w:tcPr>
            <w:tcW w:w="3700" w:type="dxa"/>
            <w:shd w:val="clear" w:fill="F8FAFC"/>
            <w:tcMar>
              <w:top w:w="80" w:type="dxa"/>
              <w:left w:w="100" w:type="dxa"/>
              <w:bottom w:w="80" w:type="dxa"/>
              <w:right w:w="100" w:type="dxa"/>
            </w:tcMar>
          </w:tcPr>
          <w:p>
            <w:pPr>
              <w:pStyle w:val="TableText"/>
              <w:spacing w:after="70"/>
            </w:pPr>
            <w:r>
              <w:rPr>
                <w:color w:val="172033"/>
                <w:sz w:val="19"/>
                <w:szCs w:val="19"/>
              </w:rPr>
              <w:t xml:space="preserve">789 positives and 17,350 negatives.</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Articles loaded</w:t>
            </w:r>
          </w:p>
        </w:tc>
        <w:tc>
          <w:tcPr>
            <w:tcW w:w="2700" w:type="dxa"/>
            <w:shd w:val="clear" w:fill="FFFFFF"/>
            <w:tcMar>
              <w:top w:w="80" w:type="dxa"/>
              <w:left w:w="100" w:type="dxa"/>
              <w:bottom w:w="80" w:type="dxa"/>
              <w:right w:w="100" w:type="dxa"/>
            </w:tcMar>
          </w:tcPr>
          <w:p>
            <w:pPr>
              <w:pStyle w:val="TableText"/>
              <w:spacing w:after="70"/>
            </w:pPr>
            <w:r>
              <w:rPr>
                <w:color w:val="172033"/>
                <w:sz w:val="19"/>
                <w:szCs w:val="19"/>
              </w:rPr>
              <w:t xml:space="preserve">11,142</w:t>
            </w:r>
          </w:p>
        </w:tc>
        <w:tc>
          <w:tcPr>
            <w:tcW w:w="3700" w:type="dxa"/>
            <w:shd w:val="clear" w:fill="FFFFFF"/>
            <w:tcMar>
              <w:top w:w="80" w:type="dxa"/>
              <w:left w:w="100" w:type="dxa"/>
              <w:bottom w:w="80" w:type="dxa"/>
              <w:right w:w="100" w:type="dxa"/>
            </w:tcMar>
          </w:tcPr>
          <w:p>
            <w:pPr>
              <w:pStyle w:val="TableText"/>
              <w:spacing w:after="70"/>
            </w:pPr>
            <w:r>
              <w:rPr>
                <w:color w:val="172033"/>
                <w:sz w:val="19"/>
                <w:szCs w:val="19"/>
              </w:rPr>
              <w:t xml:space="preserve">Every referenced article in the retained projection.</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Embedding coverage</w:t>
            </w:r>
          </w:p>
        </w:tc>
        <w:tc>
          <w:tcPr>
            <w:tcW w:w="2700" w:type="dxa"/>
            <w:shd w:val="clear" w:fill="F8FAFC"/>
            <w:tcMar>
              <w:top w:w="80" w:type="dxa"/>
              <w:left w:w="100" w:type="dxa"/>
              <w:bottom w:w="80" w:type="dxa"/>
              <w:right w:w="100" w:type="dxa"/>
            </w:tcMar>
          </w:tcPr>
          <w:p>
            <w:pPr>
              <w:pStyle w:val="TableText"/>
              <w:spacing w:after="70"/>
            </w:pPr>
            <w:r>
              <w:rPr>
                <w:color w:val="172033"/>
                <w:sz w:val="19"/>
                <w:szCs w:val="19"/>
              </w:rPr>
              <w:t xml:space="preserve">11,142 article vectors</w:t>
            </w:r>
          </w:p>
        </w:tc>
        <w:tc>
          <w:tcPr>
            <w:tcW w:w="3700" w:type="dxa"/>
            <w:shd w:val="clear" w:fill="F8FAFC"/>
            <w:tcMar>
              <w:top w:w="80" w:type="dxa"/>
              <w:left w:w="100" w:type="dxa"/>
              <w:bottom w:w="80" w:type="dxa"/>
              <w:right w:w="100" w:type="dxa"/>
            </w:tcMar>
          </w:tcPr>
          <w:p>
            <w:pPr>
              <w:pStyle w:val="TableText"/>
              <w:spacing w:after="70"/>
            </w:pPr>
            <w:r>
              <w:rPr>
                <w:color w:val="172033"/>
                <w:sz w:val="19"/>
                <w:szCs w:val="19"/>
              </w:rPr>
              <w:t xml:space="preserve">Frozen title-and-abstract semantic observations.</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Semantic description coverage</w:t>
            </w:r>
          </w:p>
        </w:tc>
        <w:tc>
          <w:tcPr>
            <w:tcW w:w="2700" w:type="dxa"/>
            <w:shd w:val="clear" w:fill="FFFFFF"/>
            <w:tcMar>
              <w:top w:w="80" w:type="dxa"/>
              <w:left w:w="100" w:type="dxa"/>
              <w:bottom w:w="80" w:type="dxa"/>
              <w:right w:w="100" w:type="dxa"/>
            </w:tcMar>
          </w:tcPr>
          <w:p>
            <w:pPr>
              <w:pStyle w:val="TableText"/>
              <w:spacing w:after="70"/>
            </w:pPr>
            <w:r>
              <w:rPr>
                <w:color w:val="172033"/>
                <w:sz w:val="19"/>
                <w:szCs w:val="19"/>
              </w:rPr>
              <w:t xml:space="preserve">11,142 articles</w:t>
            </w:r>
          </w:p>
        </w:tc>
        <w:tc>
          <w:tcPr>
            <w:tcW w:w="3700" w:type="dxa"/>
            <w:shd w:val="clear" w:fill="FFFFFF"/>
            <w:tcMar>
              <w:top w:w="80" w:type="dxa"/>
              <w:left w:w="100" w:type="dxa"/>
              <w:bottom w:w="80" w:type="dxa"/>
              <w:right w:w="100" w:type="dxa"/>
            </w:tcMar>
          </w:tcPr>
          <w:p>
            <w:pPr>
              <w:pStyle w:val="TableText"/>
              <w:spacing w:after="70"/>
            </w:pPr>
            <w:r>
              <w:rPr>
                <w:color w:val="172033"/>
                <w:sz w:val="19"/>
                <w:szCs w:val="19"/>
              </w:rPr>
              <w:t xml:space="preserve">Versioned real-API article descriptions used as symbolic content observations.</w:t>
            </w:r>
          </w:p>
        </w:tc>
      </w:tr>
    </w:tbl>
    <w:p>
      <w:pPr>
        <w:spacing w:after="100"/>
      </w:pPr>
    </w:p>
    <w:p>
      <w:pPr>
        <w:pStyle w:val="Normal"/>
      </w:pPr>
      <w:r>
        <w:t xml:space="preserve">Training retention is defined over complete causal units rather than arbitrary rows. The runtime keeps the newest whole-impression/singleton suffix within 25,000 units and 250,000 source cases by default. If an old unit expires, point and pair support are rebuilt exactly from the complete retained AtomSpace; no impression is split and no approximate rule subtraction is used.</w:t>
      </w:r>
    </w:p>
    <w:p>
      <w:pPr>
        <w:pStyle w:val="Heading1"/>
        <w:keepNext/>
      </w:pPr>
      <w:r>
        <w:t xml:space="preserve">3. Architecture evaluated</w:t>
      </w:r>
    </w:p>
    <w:p>
      <w:pPr>
        <w:pStyle w:val="Code"/>
        <w:ind w:left="360" w:right="180"/>
        <w:spacing w:before="80" w:after="0"/>
        <w:shd w:val="clear" w:color="auto" w:fill="F1F5F9"/>
      </w:pPr>
      <w:r>
        <w:rPr>
          <w:sz w:val="18"/>
          <w:szCs w:val="18"/>
          <w:rFonts w:ascii="DejaVu Sans Mono" w:hAnsi="DejaVu Sans Mono"/>
        </w:rPr>
        <w:t xml:space="preserve">article metadata + real-API semantic descriptions + frozen text vectors</w:t>
      </w:r>
    </w:p>
    <w:p>
      <w:pPr>
        <w:pStyle w:val="Code"/>
        <w:ind w:left="360" w:right="180"/>
        <w:spacing w:before="0" w:after="0"/>
        <w:shd w:val="clear" w:color="auto" w:fill="F1F5F9"/>
      </w:pPr>
      <w:r>
        <w:rPr>
          <w:sz w:val="18"/>
          <w:szCs w:val="18"/>
          <w:rFonts w:ascii="DejaVu Sans Mono" w:hAnsi="DejaVu Sans Mono"/>
        </w:rPr>
        <w:t xml:space="preserve">    -&gt; bounded causal candidate/history facts</w:t>
      </w:r>
    </w:p>
    <w:p>
      <w:pPr>
        <w:pStyle w:val="Code"/>
        <w:ind w:left="360" w:right="180"/>
        <w:spacing w:before="0" w:after="0"/>
        <w:shd w:val="clear" w:color="auto" w:fill="F1F5F9"/>
      </w:pPr>
      <w:r>
        <w:rPr>
          <w:sz w:val="18"/>
          <w:szCs w:val="18"/>
          <w:rFonts w:ascii="DejaVu Sans Mono" w:hAnsi="DejaVu Sans Mono"/>
        </w:rPr>
        <w:t xml:space="preserve">    -&gt; point cases and mirrored candidate-pair cases</w:t>
      </w:r>
    </w:p>
    <w:p>
      <w:pPr>
        <w:pStyle w:val="Code"/>
        <w:ind w:left="360" w:right="180"/>
        <w:spacing w:before="0" w:after="0"/>
        <w:shd w:val="clear" w:color="auto" w:fill="F1F5F9"/>
      </w:pPr>
      <w:r>
        <w:rPr>
          <w:sz w:val="18"/>
          <w:szCs w:val="18"/>
          <w:rFonts w:ascii="DejaVu Sans Mono" w:hAnsi="DejaVu Sans Mono"/>
        </w:rPr>
        <w:t xml:space="preserve">    -&gt; real MeTTa fpMiner rule discovery</w:t>
      </w:r>
    </w:p>
    <w:p>
      <w:pPr>
        <w:pStyle w:val="Code"/>
        <w:ind w:left="360" w:right="180"/>
        <w:spacing w:before="0" w:after="0"/>
        <w:shd w:val="clear" w:color="auto" w:fill="F1F5F9"/>
      </w:pPr>
      <w:r>
        <w:rPr>
          <w:sz w:val="18"/>
          <w:szCs w:val="18"/>
          <w:rFonts w:ascii="DejaVu Sans Mono" w:hAnsi="DejaVu Sans Mono"/>
        </w:rPr>
        <w:t xml:space="preserve">    -&gt; full-retained-training recount and CTV estimation</w:t>
      </w:r>
    </w:p>
    <w:p>
      <w:pPr>
        <w:pStyle w:val="Code"/>
        <w:ind w:left="360" w:right="180"/>
        <w:spacing w:before="0" w:after="0"/>
        <w:shd w:val="clear" w:color="auto" w:fill="F1F5F9"/>
      </w:pPr>
      <w:r>
        <w:rPr>
          <w:sz w:val="18"/>
          <w:szCs w:val="18"/>
          <w:rFonts w:ascii="DejaVu Sans Mono" w:hAnsi="DejaVu Sans Mono"/>
        </w:rPr>
        <w:t xml:space="preserve">    -&gt; versioned rules and grounded candidate facts</w:t>
      </w:r>
    </w:p>
    <w:p>
      <w:pPr>
        <w:pStyle w:val="Code"/>
        <w:ind w:left="360" w:right="180"/>
        <w:spacing w:before="0" w:after="0"/>
        <w:shd w:val="clear" w:color="auto" w:fill="F1F5F9"/>
      </w:pPr>
      <w:r>
        <w:rPr>
          <w:sz w:val="18"/>
          <w:szCs w:val="18"/>
          <w:rFonts w:ascii="DejaVu Sans Mono" w:hAnsi="DejaVu Sans Mono"/>
        </w:rPr>
        <w:t xml:space="preserve">    -&gt; PeTTaChainer proof STVs</w:t>
      </w:r>
    </w:p>
    <w:p>
      <w:pPr>
        <w:pStyle w:val="Code"/>
        <w:ind w:left="360" w:right="180"/>
        <w:spacing w:before="0" w:after="0"/>
        <w:shd w:val="clear" w:color="auto" w:fill="F1F5F9"/>
      </w:pPr>
      <w:r>
        <w:rPr>
          <w:sz w:val="18"/>
          <w:szCs w:val="18"/>
          <w:rFonts w:ascii="DejaVu Sans Mono" w:hAnsi="DejaVu Sans Mono"/>
        </w:rPr>
        <w:t xml:space="preserve">    -&gt; dependency-safe pair margins</w:t>
      </w:r>
    </w:p>
    <w:p>
      <w:pPr>
        <w:pStyle w:val="Code"/>
        <w:ind w:left="360" w:right="180"/>
        <w:spacing w:before="0" w:after="0"/>
        <w:shd w:val="clear" w:color="auto" w:fill="F1F5F9"/>
      </w:pPr>
      <w:r>
        <w:rPr>
          <w:sz w:val="18"/>
          <w:szCs w:val="18"/>
          <w:rFonts w:ascii="DejaVu Sans Mono" w:hAnsi="DejaVu Sans Mono"/>
        </w:rPr>
        <w:t xml:space="preserve">    -&gt; balanced proof-rank tournament</w:t>
      </w:r>
    </w:p>
    <w:p>
      <w:pPr>
        <w:pStyle w:val="Code"/>
        <w:ind w:left="360" w:right="180"/>
        <w:spacing w:before="0" w:after="80"/>
        <w:shd w:val="clear" w:color="auto" w:fill="F1F5F9"/>
      </w:pPr>
      <w:r>
        <w:rPr>
          <w:sz w:val="18"/>
          <w:szCs w:val="18"/>
          <w:rFonts w:ascii="DejaVu Sans Mono" w:hAnsi="DejaVu Sans Mono"/>
        </w:rPr>
        <w:t xml:space="preserve">    -&gt; ordered article slate</w:t>
      </w:r>
    </w:p>
    <w:p>
      <w:pPr>
        <w:pStyle w:val="Normal"/>
      </w:pPr>
      <w:r>
        <w:t xml:space="preserve">Article descriptions include canonical concepts, content format, event types, communicative intent and supported audience. Frozen text vectors measure candidate-to-history semantic similarity. These sources create observations only: neither the language model nor the embedding model outputs the final recommendation score. Behavioral preference structures are mined from historical outcomes, compiled into uncertain rules and applied through PeTTaChainer.</w:t>
      </w:r>
    </w:p>
    <w:p>
      <w:pPr>
        <w:pStyle w:val="Normal"/>
      </w:pPr>
      <w:r>
        <w:t xml:space="preserve">Pair training is conditional on a logged impression containing at least one clicked and one exposed non-clicked article. For every clicked/non-clicked pair, both left-right orientations are emitted. The target asks which side contains the clicked item; it is not an absolute click probability or a universal preference probability between arbitrary articles. At serving time, the learned conditional ordering evidence is applied to pairs inside the admitted ranking window.</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500"/>
        <w:gridCol w:w="6500"/>
      </w:tblGrid>
      <w:tr>
        <w:trPr>
          <w:tblHeader/>
        </w:trPr>
        <w:tc>
          <w:tcPr>
            <w:tcW w:w="2500" w:type="dxa"/>
            <w:shd w:val="clear" w:fill="0F766E"/>
            <w:tcMar>
              <w:top w:w="80" w:type="dxa"/>
              <w:left w:w="100" w:type="dxa"/>
              <w:bottom w:w="80" w:type="dxa"/>
              <w:right w:w="100" w:type="dxa"/>
            </w:tcMar>
          </w:tcPr>
          <w:p>
            <w:pPr>
              <w:pStyle w:val="TableText"/>
              <w:spacing w:after="70"/>
            </w:pPr>
            <w:r>
              <w:rPr>
                <w:b/>
                <w:color w:val="FFFFFF"/>
                <w:sz w:val="19"/>
                <w:szCs w:val="19"/>
              </w:rPr>
              <w:t xml:space="preserve">Component</w:t>
            </w:r>
          </w:p>
        </w:tc>
        <w:tc>
          <w:tcPr>
            <w:tcW w:w="6500" w:type="dxa"/>
            <w:shd w:val="clear" w:fill="0F766E"/>
            <w:tcMar>
              <w:top w:w="80" w:type="dxa"/>
              <w:left w:w="100" w:type="dxa"/>
              <w:bottom w:w="80" w:type="dxa"/>
              <w:right w:w="100" w:type="dxa"/>
            </w:tcMar>
          </w:tcPr>
          <w:p>
            <w:pPr>
              <w:pStyle w:val="TableText"/>
              <w:spacing w:after="70"/>
            </w:pPr>
            <w:r>
              <w:rPr>
                <w:b/>
                <w:color w:val="FFFFFF"/>
                <w:sz w:val="19"/>
                <w:szCs w:val="19"/>
              </w:rPr>
              <w:t xml:space="preserve">Evaluated setting</w:t>
            </w:r>
          </w:p>
        </w:tc>
      </w:tr>
      <w:tr>
        <w:tc>
          <w:tcPr>
            <w:tcW w:w="2500" w:type="dxa"/>
            <w:shd w:val="clear" w:fill="FFFFFF"/>
            <w:tcMar>
              <w:top w:w="80" w:type="dxa"/>
              <w:left w:w="100" w:type="dxa"/>
              <w:bottom w:w="80" w:type="dxa"/>
              <w:right w:w="100" w:type="dxa"/>
            </w:tcMar>
          </w:tcPr>
          <w:p>
            <w:pPr>
              <w:pStyle w:val="TableText"/>
              <w:spacing w:after="70"/>
            </w:pPr>
            <w:r>
              <w:rPr>
                <w:color w:val="172033"/>
                <w:sz w:val="19"/>
                <w:szCs w:val="19"/>
              </w:rPr>
              <w:t xml:space="preserve">Point workspace</w:t>
            </w:r>
          </w:p>
        </w:tc>
        <w:tc>
          <w:tcPr>
            <w:tcW w:w="6500" w:type="dxa"/>
            <w:shd w:val="clear" w:fill="FFFFFF"/>
            <w:tcMar>
              <w:top w:w="80" w:type="dxa"/>
              <w:left w:w="100" w:type="dxa"/>
              <w:bottom w:w="80" w:type="dxa"/>
              <w:right w:w="100" w:type="dxa"/>
            </w:tcMar>
          </w:tcPr>
          <w:p>
            <w:pPr>
              <w:pStyle w:val="TableText"/>
              <w:spacing w:after="70"/>
            </w:pPr>
            <w:r>
              <w:rPr>
                <w:color w:val="172033"/>
                <w:sz w:val="19"/>
                <w:szCs w:val="19"/>
              </w:rPr>
              <w:t xml:space="preserve">Causal topic, recent and long-term affinity, entity overlap detail, and topic-history count bands.</w:t>
            </w:r>
          </w:p>
        </w:tc>
      </w:tr>
      <w:tr>
        <w:tc>
          <w:tcPr>
            <w:tcW w:w="2500" w:type="dxa"/>
            <w:shd w:val="clear" w:fill="F8FAFC"/>
            <w:tcMar>
              <w:top w:w="80" w:type="dxa"/>
              <w:left w:w="100" w:type="dxa"/>
              <w:bottom w:w="80" w:type="dxa"/>
              <w:right w:w="100" w:type="dxa"/>
            </w:tcMar>
          </w:tcPr>
          <w:p>
            <w:pPr>
              <w:pStyle w:val="TableText"/>
              <w:spacing w:after="70"/>
            </w:pPr>
            <w:r>
              <w:rPr>
                <w:color w:val="172033"/>
                <w:sz w:val="19"/>
                <w:szCs w:val="19"/>
              </w:rPr>
              <w:t xml:space="preserve">Pair workspace</w:t>
            </w:r>
          </w:p>
        </w:tc>
        <w:tc>
          <w:tcPr>
            <w:tcW w:w="6500" w:type="dxa"/>
            <w:shd w:val="clear" w:fill="F8FAFC"/>
            <w:tcMar>
              <w:top w:w="80" w:type="dxa"/>
              <w:left w:w="100" w:type="dxa"/>
              <w:bottom w:w="80" w:type="dxa"/>
              <w:right w:w="100" w:type="dxa"/>
            </w:tcMar>
          </w:tcPr>
          <w:p>
            <w:pPr>
              <w:pStyle w:val="TableText"/>
              <w:spacing w:after="70"/>
            </w:pPr>
            <w:r>
              <w:rPr>
                <w:color w:val="172033"/>
                <w:sz w:val="19"/>
                <w:szCs w:val="19"/>
              </w:rPr>
              <w:t xml:space="preserve">Relative semantic, taxonomy, entity, transition, title and history-affinity observations for two candidates from one impression.</w:t>
            </w:r>
          </w:p>
        </w:tc>
      </w:tr>
      <w:tr>
        <w:tc>
          <w:tcPr>
            <w:tcW w:w="2500" w:type="dxa"/>
            <w:shd w:val="clear" w:fill="FFFFFF"/>
            <w:tcMar>
              <w:top w:w="80" w:type="dxa"/>
              <w:left w:w="100" w:type="dxa"/>
              <w:bottom w:w="80" w:type="dxa"/>
              <w:right w:w="100" w:type="dxa"/>
            </w:tcMar>
          </w:tcPr>
          <w:p>
            <w:pPr>
              <w:pStyle w:val="TableText"/>
              <w:spacing w:after="70"/>
            </w:pPr>
            <w:r>
              <w:rPr>
                <w:color w:val="172033"/>
                <w:sz w:val="19"/>
                <w:szCs w:val="19"/>
              </w:rPr>
              <w:t xml:space="preserve">Point mining</w:t>
            </w:r>
          </w:p>
        </w:tc>
        <w:tc>
          <w:tcPr>
            <w:tcW w:w="6500" w:type="dxa"/>
            <w:shd w:val="clear" w:fill="FFFFFF"/>
            <w:tcMar>
              <w:top w:w="80" w:type="dxa"/>
              <w:left w:w="100" w:type="dxa"/>
              <w:bottom w:w="80" w:type="dxa"/>
              <w:right w:w="100" w:type="dxa"/>
            </w:tcMar>
          </w:tcPr>
          <w:p>
            <w:pPr>
              <w:pStyle w:val="TableText"/>
              <w:spacing w:after="70"/>
            </w:pPr>
            <w:r>
              <w:rPr>
                <w:color w:val="172033"/>
                <w:sz w:val="19"/>
                <w:szCs w:val="19"/>
              </w:rPr>
              <w:t xml:space="preserve">Minimum support 16; maximum 30 rules; one antecedent plus target; four discovery negatives per positive.</w:t>
            </w:r>
          </w:p>
        </w:tc>
      </w:tr>
      <w:tr>
        <w:tc>
          <w:tcPr>
            <w:tcW w:w="2500" w:type="dxa"/>
            <w:shd w:val="clear" w:fill="F8FAFC"/>
            <w:tcMar>
              <w:top w:w="80" w:type="dxa"/>
              <w:left w:w="100" w:type="dxa"/>
              <w:bottom w:w="80" w:type="dxa"/>
              <w:right w:w="100" w:type="dxa"/>
            </w:tcMar>
          </w:tcPr>
          <w:p>
            <w:pPr>
              <w:pStyle w:val="TableText"/>
              <w:spacing w:after="70"/>
            </w:pPr>
            <w:r>
              <w:rPr>
                <w:color w:val="172033"/>
                <w:sz w:val="19"/>
                <w:szCs w:val="19"/>
              </w:rPr>
              <w:t xml:space="preserve">Pair mining</w:t>
            </w:r>
          </w:p>
        </w:tc>
        <w:tc>
          <w:tcPr>
            <w:tcW w:w="6500" w:type="dxa"/>
            <w:shd w:val="clear" w:fill="F8FAFC"/>
            <w:tcMar>
              <w:top w:w="80" w:type="dxa"/>
              <w:left w:w="100" w:type="dxa"/>
              <w:bottom w:w="80" w:type="dxa"/>
              <w:right w:w="100" w:type="dxa"/>
            </w:tcMar>
          </w:tcPr>
          <w:p>
            <w:pPr>
              <w:pStyle w:val="TableText"/>
              <w:spacing w:after="70"/>
            </w:pPr>
            <w:r>
              <w:rPr>
                <w:color w:val="172033"/>
                <w:sz w:val="19"/>
                <w:szCs w:val="19"/>
              </w:rPr>
              <w:t xml:space="preserve">Minimum support 12; maximum 40 rules; up to two antecedents plus target; eight discovery negatives per positive.</w:t>
            </w:r>
          </w:p>
        </w:tc>
      </w:tr>
      <w:tr>
        <w:tc>
          <w:tcPr>
            <w:tcW w:w="2500" w:type="dxa"/>
            <w:shd w:val="clear" w:fill="FFFFFF"/>
            <w:tcMar>
              <w:top w:w="80" w:type="dxa"/>
              <w:left w:w="100" w:type="dxa"/>
              <w:bottom w:w="80" w:type="dxa"/>
              <w:right w:w="100" w:type="dxa"/>
            </w:tcMar>
          </w:tcPr>
          <w:p>
            <w:pPr>
              <w:pStyle w:val="TableText"/>
              <w:spacing w:after="70"/>
            </w:pPr>
            <w:r>
              <w:rPr>
                <w:color w:val="172033"/>
                <w:sz w:val="19"/>
                <w:szCs w:val="19"/>
              </w:rPr>
              <w:t xml:space="preserve">Rules retained</w:t>
            </w:r>
          </w:p>
        </w:tc>
        <w:tc>
          <w:tcPr>
            <w:tcW w:w="6500" w:type="dxa"/>
            <w:shd w:val="clear" w:fill="FFFFFF"/>
            <w:tcMar>
              <w:top w:w="80" w:type="dxa"/>
              <w:left w:w="100" w:type="dxa"/>
              <w:bottom w:w="80" w:type="dxa"/>
              <w:right w:w="100" w:type="dxa"/>
            </w:tcMar>
          </w:tcPr>
          <w:p>
            <w:pPr>
              <w:pStyle w:val="TableText"/>
              <w:spacing w:after="70"/>
            </w:pPr>
            <w:r>
              <w:rPr>
                <w:color w:val="172033"/>
                <w:sz w:val="19"/>
                <w:szCs w:val="19"/>
              </w:rPr>
              <w:t xml:space="preserve">30 point rules and 18 pair rules.</w:t>
            </w:r>
          </w:p>
        </w:tc>
      </w:tr>
      <w:tr>
        <w:tc>
          <w:tcPr>
            <w:tcW w:w="2500" w:type="dxa"/>
            <w:shd w:val="clear" w:fill="F8FAFC"/>
            <w:tcMar>
              <w:top w:w="80" w:type="dxa"/>
              <w:left w:w="100" w:type="dxa"/>
              <w:bottom w:w="80" w:type="dxa"/>
              <w:right w:w="100" w:type="dxa"/>
            </w:tcMar>
          </w:tcPr>
          <w:p>
            <w:pPr>
              <w:pStyle w:val="TableText"/>
              <w:spacing w:after="70"/>
            </w:pPr>
            <w:r>
              <w:rPr>
                <w:color w:val="172033"/>
                <w:sz w:val="19"/>
                <w:szCs w:val="19"/>
              </w:rPr>
              <w:t xml:space="preserve">CTV estimation</w:t>
            </w:r>
          </w:p>
        </w:tc>
        <w:tc>
          <w:tcPr>
            <w:tcW w:w="6500" w:type="dxa"/>
            <w:shd w:val="clear" w:fill="F8FAFC"/>
            <w:tcMar>
              <w:top w:w="80" w:type="dxa"/>
              <w:left w:w="100" w:type="dxa"/>
              <w:bottom w:w="80" w:type="dxa"/>
              <w:right w:w="100" w:type="dxa"/>
            </w:tcMar>
          </w:tcPr>
          <w:p>
            <w:pPr>
              <w:pStyle w:val="TableText"/>
              <w:spacing w:after="70"/>
            </w:pPr>
            <w:r>
              <w:rPr>
                <w:color w:val="172033"/>
                <w:sz w:val="19"/>
                <w:szCs w:val="19"/>
              </w:rPr>
              <w:t xml:space="preserve">Selected structures are recounted on the complete retained training population. Point confidence uses n/(n+800). Pair CTVs use impression-macro weighting: every source impression has total mass one, branch strength is its weighted target frequency, and confidence is n_eff/(n_eff+800), where n_eff is Kish effective impression support. Activation coverage remains separate. The pair selection scale 20 affects only host-side rule retention and is never decoded by PeTTa as evidence.</w:t>
            </w:r>
          </w:p>
        </w:tc>
      </w:tr>
      <w:tr>
        <w:tc>
          <w:tcPr>
            <w:tcW w:w="2500" w:type="dxa"/>
            <w:shd w:val="clear" w:fill="FFFFFF"/>
            <w:tcMar>
              <w:top w:w="80" w:type="dxa"/>
              <w:left w:w="100" w:type="dxa"/>
              <w:bottom w:w="80" w:type="dxa"/>
              <w:right w:w="100" w:type="dxa"/>
            </w:tcMar>
          </w:tcPr>
          <w:p>
            <w:pPr>
              <w:pStyle w:val="TableText"/>
              <w:spacing w:after="70"/>
            </w:pPr>
            <w:r>
              <w:rPr>
                <w:color w:val="172033"/>
                <w:sz w:val="19"/>
                <w:szCs w:val="19"/>
              </w:rPr>
              <w:t xml:space="preserve">Proof isolation</w:t>
            </w:r>
          </w:p>
        </w:tc>
        <w:tc>
          <w:tcPr>
            <w:tcW w:w="6500" w:type="dxa"/>
            <w:shd w:val="clear" w:fill="FFFFFF"/>
            <w:tcMar>
              <w:top w:w="80" w:type="dxa"/>
              <w:left w:w="100" w:type="dxa"/>
              <w:bottom w:w="80" w:type="dxa"/>
              <w:right w:w="100" w:type="dxa"/>
            </w:tcMar>
          </w:tcPr>
          <w:p>
            <w:pPr>
              <w:pStyle w:val="TableText"/>
              <w:spacing w:after="70"/>
            </w:pPr>
            <w:r>
              <w:rPr>
                <w:color w:val="172033"/>
                <w:sz w:val="19"/>
                <w:szCs w:val="19"/>
              </w:rPr>
              <w:t xml:space="preserve">Correlated rule variants share a dependency and cannot contribute multiple independent votes.</w:t>
            </w:r>
          </w:p>
        </w:tc>
      </w:tr>
      <w:tr>
        <w:tc>
          <w:tcPr>
            <w:tcW w:w="2500" w:type="dxa"/>
            <w:shd w:val="clear" w:fill="F8FAFC"/>
            <w:tcMar>
              <w:top w:w="80" w:type="dxa"/>
              <w:left w:w="100" w:type="dxa"/>
              <w:bottom w:w="80" w:type="dxa"/>
              <w:right w:w="100" w:type="dxa"/>
            </w:tcMar>
          </w:tcPr>
          <w:p>
            <w:pPr>
              <w:pStyle w:val="TableText"/>
              <w:spacing w:after="70"/>
            </w:pPr>
            <w:r>
              <w:rPr>
                <w:color w:val="172033"/>
                <w:sz w:val="19"/>
                <w:szCs w:val="19"/>
              </w:rPr>
              <w:t xml:space="preserve">Ranking</w:t>
            </w:r>
          </w:p>
        </w:tc>
        <w:tc>
          <w:tcPr>
            <w:tcW w:w="6500" w:type="dxa"/>
            <w:shd w:val="clear" w:fill="F8FAFC"/>
            <w:tcMar>
              <w:top w:w="80" w:type="dxa"/>
              <w:left w:w="100" w:type="dxa"/>
              <w:bottom w:w="80" w:type="dxa"/>
              <w:right w:w="100" w:type="dxa"/>
            </w:tcMar>
          </w:tcPr>
          <w:p>
            <w:pPr>
              <w:pStyle w:val="TableText"/>
              <w:spacing w:after="70"/>
            </w:pPr>
            <w:r>
              <w:rPr>
                <w:color w:val="172033"/>
                <w:sz w:val="19"/>
                <w:szCs w:val="19"/>
              </w:rPr>
              <w:t xml:space="preserve">Keep the largest absolute PeTTa log-odds margin per dependency, sum margins within text-semantic and structured-symbolic families, convert each family's totals to candidate midranks, then average the two active family ranks equally.</w:t>
            </w:r>
          </w:p>
        </w:tc>
      </w:tr>
    </w:tbl>
    <w:p>
      <w:pPr>
        <w:spacing w:after="100"/>
      </w:pPr>
    </w:p>
    <w:p>
      <w:pPr>
        <w:pStyle w:val="Normal"/>
      </w:pPr>
      <w:r>
        <w:t xml:space="preserve">The full-retained-training step is an in-sample support/target recount followed by CTV estimation; it is not held-out probability calibration. PeTTaChainer supplies the proofs and root STVs; the application ranking layer performs dependency selection, log-odds conversion, family fusion and the tournament. Balanced family fusion preserves order within each evidence family but discards absolute magnitude between families, so a weak active family receives the same family-level rank weight as a strong one. A model-active family with no discriminating margin yields a tied midrank of 0.5, and opposing family ranks can cancel. That is the policy measured by this report, not a calibrated joint-evidence model.</w:t>
      </w:r>
    </w:p>
    <w:p>
      <w:pPr>
        <w:pStyle w:val="Heading1"/>
        <w:keepNext/>
      </w:pPr>
      <w:r>
        <w:t xml:space="preserve">4. Evaluation metrics</w:t>
      </w:r>
    </w:p>
    <w:p>
      <w:pPr>
        <w:pStyle w:val="Heading2"/>
        <w:keepNext/>
      </w:pPr>
      <w:r>
        <w:t xml:space="preserve">4.1 Macro impression AUC</w:t>
      </w:r>
    </w:p>
    <w:p>
      <w:pPr>
        <w:pStyle w:val="Normal"/>
      </w:pPr>
      <w:r>
        <w:t xml:space="preserve">For impression i with clicked candidates P_i, non-clicked candidates N_i and rank score r:</w:t>
      </w:r>
    </w:p>
    <w:p>
      <w:pPr>
        <w:pStyle w:val="Quote"/>
      </w:pPr>
      <w:r>
        <w:t xml:space="preserve">AUC_i = [Σp∈P_i Σn∈N_i 1(rp&gt;rn) + 0.5·1(rp=rn)] / (|P_i||N_i|)</w:t>
      </w:r>
    </w:p>
    <w:p>
      <w:pPr>
        <w:pStyle w:val="Normal"/>
      </w:pPr>
      <w:r>
        <w:t xml:space="preserve">The benchmark is the equal-weight mean of AUC_i across eligible impressions. It estimates how often a clicked item outranks an exposed non-clicked item within the same historical slate. AUC 0.5 is random/tied discrimination; 1.0 is perfect ordering. It does not measure unexposed items or online causal lift.</w:t>
      </w:r>
    </w:p>
    <w:p>
      <w:pPr>
        <w:pStyle w:val="Heading2"/>
        <w:keepNext/>
      </w:pPr>
      <w:r>
        <w:t xml:space="preserve">4.2 Other ranking metrics</w:t>
      </w:r>
    </w:p>
    <w:p>
      <w:pPr>
        <w:pStyle w:val="Normal"/>
      </w:pPr>
      <w:r>
        <w:t xml:space="preserve">The MIND convention averages reciprocal rank over every clicked candidate in an impression and then averages impressions: MRR_i = (1/|P_i|) · Σp∈P_i 1/rank_i(p), where rank is one-based.</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1800"/>
        <w:gridCol w:w="3600"/>
        <w:gridCol w:w="3600"/>
      </w:tblGrid>
      <w:tr>
        <w:trPr>
          <w:tblHeader/>
        </w:trPr>
        <w:tc>
          <w:tcPr>
            <w:tcW w:w="1800" w:type="dxa"/>
            <w:shd w:val="clear" w:fill="0F766E"/>
            <w:tcMar>
              <w:top w:w="80" w:type="dxa"/>
              <w:left w:w="100" w:type="dxa"/>
              <w:bottom w:w="80" w:type="dxa"/>
              <w:right w:w="100" w:type="dxa"/>
            </w:tcMar>
          </w:tcPr>
          <w:p>
            <w:pPr>
              <w:pStyle w:val="TableText"/>
              <w:spacing w:after="70"/>
            </w:pPr>
            <w:r>
              <w:rPr>
                <w:b/>
                <w:color w:val="FFFFFF"/>
                <w:sz w:val="19"/>
                <w:szCs w:val="19"/>
              </w:rPr>
              <w:t xml:space="preserve">Metric</w:t>
            </w:r>
          </w:p>
        </w:tc>
        <w:tc>
          <w:tcPr>
            <w:tcW w:w="3600" w:type="dxa"/>
            <w:shd w:val="clear" w:fill="0F766E"/>
            <w:tcMar>
              <w:top w:w="80" w:type="dxa"/>
              <w:left w:w="100" w:type="dxa"/>
              <w:bottom w:w="80" w:type="dxa"/>
              <w:right w:w="100" w:type="dxa"/>
            </w:tcMar>
          </w:tcPr>
          <w:p>
            <w:pPr>
              <w:pStyle w:val="TableText"/>
              <w:spacing w:after="70"/>
            </w:pPr>
            <w:r>
              <w:rPr>
                <w:b/>
                <w:color w:val="FFFFFF"/>
                <w:sz w:val="19"/>
                <w:szCs w:val="19"/>
              </w:rPr>
              <w:t xml:space="preserve">Meaning</w:t>
            </w:r>
          </w:p>
        </w:tc>
        <w:tc>
          <w:tcPr>
            <w:tcW w:w="3600" w:type="dxa"/>
            <w:shd w:val="clear" w:fill="0F766E"/>
            <w:tcMar>
              <w:top w:w="80" w:type="dxa"/>
              <w:left w:w="100" w:type="dxa"/>
              <w:bottom w:w="80" w:type="dxa"/>
              <w:right w:w="100" w:type="dxa"/>
            </w:tcMar>
          </w:tcPr>
          <w:p>
            <w:pPr>
              <w:pStyle w:val="TableText"/>
              <w:spacing w:after="70"/>
            </w:pPr>
            <w:r>
              <w:rPr>
                <w:b/>
                <w:color w:val="FFFFFF"/>
                <w:sz w:val="19"/>
                <w:szCs w:val="19"/>
              </w:rPr>
              <w:t xml:space="preserve">Practical implication</w:t>
            </w:r>
          </w:p>
        </w:tc>
      </w:tr>
      <w:tr>
        <w:tc>
          <w:tcPr>
            <w:tcW w:w="1800" w:type="dxa"/>
            <w:shd w:val="clear" w:fill="FFFFFF"/>
            <w:tcMar>
              <w:top w:w="80" w:type="dxa"/>
              <w:left w:w="100" w:type="dxa"/>
              <w:bottom w:w="80" w:type="dxa"/>
              <w:right w:w="100" w:type="dxa"/>
            </w:tcMar>
          </w:tcPr>
          <w:p>
            <w:pPr>
              <w:pStyle w:val="TableText"/>
              <w:spacing w:after="70"/>
            </w:pPr>
            <w:r>
              <w:rPr>
                <w:color w:val="172033"/>
                <w:sz w:val="19"/>
                <w:szCs w:val="19"/>
              </w:rPr>
              <w:t xml:space="preserve">MRR</w:t>
            </w:r>
          </w:p>
        </w:tc>
        <w:tc>
          <w:tcPr>
            <w:tcW w:w="3600" w:type="dxa"/>
            <w:shd w:val="clear" w:fill="FFFFFF"/>
            <w:tcMar>
              <w:top w:w="80" w:type="dxa"/>
              <w:left w:w="100" w:type="dxa"/>
              <w:bottom w:w="80" w:type="dxa"/>
              <w:right w:w="100" w:type="dxa"/>
            </w:tcMar>
          </w:tcPr>
          <w:p>
            <w:pPr>
              <w:pStyle w:val="TableText"/>
              <w:spacing w:after="70"/>
            </w:pPr>
            <w:r>
              <w:rPr>
                <w:color w:val="172033"/>
                <w:sz w:val="19"/>
                <w:szCs w:val="19"/>
              </w:rPr>
              <w:t xml:space="preserve">Mean reciprocal rank of all clicked candidates within each impression, then averaged across impressions.</w:t>
            </w:r>
          </w:p>
        </w:tc>
        <w:tc>
          <w:tcPr>
            <w:tcW w:w="3600" w:type="dxa"/>
            <w:shd w:val="clear" w:fill="FFFFFF"/>
            <w:tcMar>
              <w:top w:w="80" w:type="dxa"/>
              <w:left w:w="100" w:type="dxa"/>
              <w:bottom w:w="80" w:type="dxa"/>
              <w:right w:w="100" w:type="dxa"/>
            </w:tcMar>
          </w:tcPr>
          <w:p>
            <w:pPr>
              <w:pStyle w:val="TableText"/>
              <w:spacing w:after="70"/>
            </w:pPr>
            <w:r>
              <w:rPr>
                <w:color w:val="172033"/>
                <w:sz w:val="19"/>
                <w:szCs w:val="19"/>
              </w:rPr>
              <w:t xml:space="preserve">Rewards placing every clicked item early, with the largest contribution from the highest positions.</w:t>
            </w:r>
          </w:p>
        </w:tc>
      </w:tr>
      <w:tr>
        <w:tc>
          <w:tcPr>
            <w:tcW w:w="1800" w:type="dxa"/>
            <w:shd w:val="clear" w:fill="F8FAFC"/>
            <w:tcMar>
              <w:top w:w="80" w:type="dxa"/>
              <w:left w:w="100" w:type="dxa"/>
              <w:bottom w:w="80" w:type="dxa"/>
              <w:right w:w="100" w:type="dxa"/>
            </w:tcMar>
          </w:tcPr>
          <w:p>
            <w:pPr>
              <w:pStyle w:val="TableText"/>
              <w:spacing w:after="70"/>
            </w:pPr>
            <w:r>
              <w:rPr>
                <w:color w:val="172033"/>
                <w:sz w:val="19"/>
                <w:szCs w:val="19"/>
              </w:rPr>
              <w:t xml:space="preserve">nDCG@5</w:t>
            </w:r>
          </w:p>
        </w:tc>
        <w:tc>
          <w:tcPr>
            <w:tcW w:w="3600" w:type="dxa"/>
            <w:shd w:val="clear" w:fill="F8FAFC"/>
            <w:tcMar>
              <w:top w:w="80" w:type="dxa"/>
              <w:left w:w="100" w:type="dxa"/>
              <w:bottom w:w="80" w:type="dxa"/>
              <w:right w:w="100" w:type="dxa"/>
            </w:tcMar>
          </w:tcPr>
          <w:p>
            <w:pPr>
              <w:pStyle w:val="TableText"/>
              <w:spacing w:after="70"/>
            </w:pPr>
            <w:r>
              <w:rPr>
                <w:color w:val="172033"/>
                <w:sz w:val="19"/>
                <w:szCs w:val="19"/>
              </w:rPr>
              <w:t xml:space="preserve">Discounted relevance in the first five positions, normalized by the ideal order.</w:t>
            </w:r>
          </w:p>
        </w:tc>
        <w:tc>
          <w:tcPr>
            <w:tcW w:w="3600" w:type="dxa"/>
            <w:shd w:val="clear" w:fill="F8FAFC"/>
            <w:tcMar>
              <w:top w:w="80" w:type="dxa"/>
              <w:left w:w="100" w:type="dxa"/>
              <w:bottom w:w="80" w:type="dxa"/>
              <w:right w:w="100" w:type="dxa"/>
            </w:tcMar>
          </w:tcPr>
          <w:p>
            <w:pPr>
              <w:pStyle w:val="TableText"/>
              <w:spacing w:after="70"/>
            </w:pPr>
            <w:r>
              <w:rPr>
                <w:color w:val="172033"/>
                <w:sz w:val="19"/>
                <w:szCs w:val="19"/>
              </w:rPr>
              <w:t xml:space="preserve">Represents quality in the immediately visible feed.</w:t>
            </w:r>
          </w:p>
        </w:tc>
      </w:tr>
      <w:tr>
        <w:tc>
          <w:tcPr>
            <w:tcW w:w="1800" w:type="dxa"/>
            <w:shd w:val="clear" w:fill="FFFFFF"/>
            <w:tcMar>
              <w:top w:w="80" w:type="dxa"/>
              <w:left w:w="100" w:type="dxa"/>
              <w:bottom w:w="80" w:type="dxa"/>
              <w:right w:w="100" w:type="dxa"/>
            </w:tcMar>
          </w:tcPr>
          <w:p>
            <w:pPr>
              <w:pStyle w:val="TableText"/>
              <w:spacing w:after="70"/>
            </w:pPr>
            <w:r>
              <w:rPr>
                <w:color w:val="172033"/>
                <w:sz w:val="19"/>
                <w:szCs w:val="19"/>
              </w:rPr>
              <w:t xml:space="preserve">nDCG@10</w:t>
            </w:r>
          </w:p>
        </w:tc>
        <w:tc>
          <w:tcPr>
            <w:tcW w:w="3600" w:type="dxa"/>
            <w:shd w:val="clear" w:fill="FFFFFF"/>
            <w:tcMar>
              <w:top w:w="80" w:type="dxa"/>
              <w:left w:w="100" w:type="dxa"/>
              <w:bottom w:w="80" w:type="dxa"/>
              <w:right w:w="100" w:type="dxa"/>
            </w:tcMar>
          </w:tcPr>
          <w:p>
            <w:pPr>
              <w:pStyle w:val="TableText"/>
              <w:spacing w:after="70"/>
            </w:pPr>
            <w:r>
              <w:rPr>
                <w:color w:val="172033"/>
                <w:sz w:val="19"/>
                <w:szCs w:val="19"/>
              </w:rPr>
              <w:t xml:space="preserve">The same calculation across ten positions.</w:t>
            </w:r>
          </w:p>
        </w:tc>
        <w:tc>
          <w:tcPr>
            <w:tcW w:w="3600" w:type="dxa"/>
            <w:shd w:val="clear" w:fill="FFFFFF"/>
            <w:tcMar>
              <w:top w:w="80" w:type="dxa"/>
              <w:left w:w="100" w:type="dxa"/>
              <w:bottom w:w="80" w:type="dxa"/>
              <w:right w:w="100" w:type="dxa"/>
            </w:tcMar>
          </w:tcPr>
          <w:p>
            <w:pPr>
              <w:pStyle w:val="TableText"/>
              <w:spacing w:after="70"/>
            </w:pPr>
            <w:r>
              <w:rPr>
                <w:color w:val="172033"/>
                <w:sz w:val="19"/>
                <w:szCs w:val="19"/>
              </w:rPr>
              <w:t xml:space="preserve">Measures a slightly deeper browsing window.</w:t>
            </w:r>
          </w:p>
        </w:tc>
      </w:tr>
      <w:tr>
        <w:tc>
          <w:tcPr>
            <w:tcW w:w="1800" w:type="dxa"/>
            <w:shd w:val="clear" w:fill="F8FAFC"/>
            <w:tcMar>
              <w:top w:w="80" w:type="dxa"/>
              <w:left w:w="100" w:type="dxa"/>
              <w:bottom w:w="80" w:type="dxa"/>
              <w:right w:w="100" w:type="dxa"/>
            </w:tcMar>
          </w:tcPr>
          <w:p>
            <w:pPr>
              <w:pStyle w:val="TableText"/>
              <w:spacing w:after="70"/>
            </w:pPr>
            <w:r>
              <w:rPr>
                <w:color w:val="172033"/>
                <w:sz w:val="19"/>
                <w:szCs w:val="19"/>
              </w:rPr>
              <w:t xml:space="preserve">Point-proof coverage</w:t>
            </w:r>
          </w:p>
        </w:tc>
        <w:tc>
          <w:tcPr>
            <w:tcW w:w="3600" w:type="dxa"/>
            <w:shd w:val="clear" w:fill="F8FAFC"/>
            <w:tcMar>
              <w:top w:w="80" w:type="dxa"/>
              <w:left w:w="100" w:type="dxa"/>
              <w:bottom w:w="80" w:type="dxa"/>
              <w:right w:w="100" w:type="dxa"/>
            </w:tcMar>
          </w:tcPr>
          <w:p>
            <w:pPr>
              <w:pStyle w:val="TableText"/>
              <w:spacing w:after="70"/>
            </w:pPr>
            <w:r>
              <w:rPr>
                <w:color w:val="172033"/>
                <w:sz w:val="19"/>
                <w:szCs w:val="19"/>
              </w:rPr>
              <w:t xml:space="preserve">Fraction of evaluated candidates for which at least one point proof was returned.</w:t>
            </w:r>
          </w:p>
        </w:tc>
        <w:tc>
          <w:tcPr>
            <w:tcW w:w="3600" w:type="dxa"/>
            <w:shd w:val="clear" w:fill="F8FAFC"/>
            <w:tcMar>
              <w:top w:w="80" w:type="dxa"/>
              <w:left w:w="100" w:type="dxa"/>
              <w:bottom w:w="80" w:type="dxa"/>
              <w:right w:w="100" w:type="dxa"/>
            </w:tcMar>
          </w:tcPr>
          <w:p>
            <w:pPr>
              <w:pStyle w:val="TableText"/>
              <w:spacing w:after="70"/>
            </w:pPr>
            <w:r>
              <w:rPr>
                <w:color w:val="172033"/>
                <w:sz w:val="19"/>
                <w:szCs w:val="19"/>
              </w:rPr>
              <w:t xml:space="preserve">Shows point-reasoning availability, not correctness or non-neutrality.</w:t>
            </w:r>
          </w:p>
        </w:tc>
      </w:tr>
      <w:tr>
        <w:tc>
          <w:tcPr>
            <w:tcW w:w="1800" w:type="dxa"/>
            <w:shd w:val="clear" w:fill="FFFFFF"/>
            <w:tcMar>
              <w:top w:w="80" w:type="dxa"/>
              <w:left w:w="100" w:type="dxa"/>
              <w:bottom w:w="80" w:type="dxa"/>
              <w:right w:w="100" w:type="dxa"/>
            </w:tcMar>
          </w:tcPr>
          <w:p>
            <w:pPr>
              <w:pStyle w:val="TableText"/>
              <w:spacing w:after="70"/>
            </w:pPr>
            <w:r>
              <w:rPr>
                <w:color w:val="172033"/>
                <w:sz w:val="19"/>
                <w:szCs w:val="19"/>
              </w:rPr>
              <w:t xml:space="preserve">Pair-comparison coverage</w:t>
            </w:r>
          </w:p>
        </w:tc>
        <w:tc>
          <w:tcPr>
            <w:tcW w:w="3600" w:type="dxa"/>
            <w:shd w:val="clear" w:fill="FFFFFF"/>
            <w:tcMar>
              <w:top w:w="80" w:type="dxa"/>
              <w:left w:w="100" w:type="dxa"/>
              <w:bottom w:w="80" w:type="dxa"/>
              <w:right w:w="100" w:type="dxa"/>
            </w:tcMar>
          </w:tcPr>
          <w:p>
            <w:pPr>
              <w:pStyle w:val="TableText"/>
              <w:spacing w:after="70"/>
            </w:pPr>
            <w:r>
              <w:rPr>
                <w:color w:val="172033"/>
                <w:sz w:val="19"/>
                <w:szCs w:val="19"/>
              </w:rPr>
              <w:t xml:space="preserve">Candidate-level fraction of opponent comparisons for which either orientation returned at least one pair proof.</w:t>
            </w:r>
          </w:p>
        </w:tc>
        <w:tc>
          <w:tcPr>
            <w:tcW w:w="3600" w:type="dxa"/>
            <w:shd w:val="clear" w:fill="FFFFFF"/>
            <w:tcMar>
              <w:top w:w="80" w:type="dxa"/>
              <w:left w:w="100" w:type="dxa"/>
              <w:bottom w:w="80" w:type="dxa"/>
              <w:right w:w="100" w:type="dxa"/>
            </w:tcMar>
          </w:tcPr>
          <w:p>
            <w:pPr>
              <w:pStyle w:val="TableText"/>
              <w:spacing w:after="70"/>
            </w:pPr>
            <w:r>
              <w:rPr>
                <w:color w:val="172033"/>
                <w:sz w:val="19"/>
                <w:szCs w:val="19"/>
              </w:rPr>
              <w:t xml:space="preserve">Shows pair-reasoning availability, not proof-channel coverage or correctness.</w:t>
            </w:r>
          </w:p>
        </w:tc>
      </w:tr>
      <w:tr>
        <w:tc>
          <w:tcPr>
            <w:tcW w:w="1800" w:type="dxa"/>
            <w:shd w:val="clear" w:fill="F8FAFC"/>
            <w:tcMar>
              <w:top w:w="80" w:type="dxa"/>
              <w:left w:w="100" w:type="dxa"/>
              <w:bottom w:w="80" w:type="dxa"/>
              <w:right w:w="100" w:type="dxa"/>
            </w:tcMar>
          </w:tcPr>
          <w:p>
            <w:pPr>
              <w:pStyle w:val="TableText"/>
              <w:spacing w:after="70"/>
            </w:pPr>
            <w:r>
              <w:rPr>
                <w:color w:val="172033"/>
                <w:sz w:val="19"/>
                <w:szCs w:val="19"/>
              </w:rPr>
              <w:t xml:space="preserve">Proof-derived AUC audit</w:t>
            </w:r>
          </w:p>
        </w:tc>
        <w:tc>
          <w:tcPr>
            <w:tcW w:w="3600" w:type="dxa"/>
            <w:shd w:val="clear" w:fill="F8FAFC"/>
            <w:tcMar>
              <w:top w:w="80" w:type="dxa"/>
              <w:left w:w="100" w:type="dxa"/>
              <w:bottom w:w="80" w:type="dxa"/>
              <w:right w:w="100" w:type="dxa"/>
            </w:tcMar>
          </w:tcPr>
          <w:p>
            <w:pPr>
              <w:pStyle w:val="TableText"/>
              <w:spacing w:after="70"/>
            </w:pPr>
            <w:r>
              <w:rPr>
                <w:color w:val="172033"/>
                <w:sz w:val="19"/>
                <w:szCs w:val="19"/>
              </w:rPr>
              <w:t xml:space="preserve">AUC immediately before the final exact-tie display policy.</w:t>
            </w:r>
          </w:p>
        </w:tc>
        <w:tc>
          <w:tcPr>
            <w:tcW w:w="3600" w:type="dxa"/>
            <w:shd w:val="clear" w:fill="F8FAFC"/>
            <w:tcMar>
              <w:top w:w="80" w:type="dxa"/>
              <w:left w:w="100" w:type="dxa"/>
              <w:bottom w:w="80" w:type="dxa"/>
              <w:right w:w="100" w:type="dxa"/>
            </w:tcMar>
          </w:tcPr>
          <w:p>
            <w:pPr>
              <w:pStyle w:val="TableText"/>
              <w:spacing w:after="70"/>
            </w:pPr>
            <w:r>
              <w:rPr>
                <w:color w:val="172033"/>
                <w:sz w:val="19"/>
                <w:szCs w:val="19"/>
              </w:rPr>
              <w:t xml:space="preserve">Checks that the application tie policy is not creating the measured discrimination.</w:t>
            </w:r>
          </w:p>
        </w:tc>
      </w:tr>
      <w:tr>
        <w:tc>
          <w:tcPr>
            <w:tcW w:w="1800" w:type="dxa"/>
            <w:shd w:val="clear" w:fill="FFFFFF"/>
            <w:tcMar>
              <w:top w:w="80" w:type="dxa"/>
              <w:left w:w="100" w:type="dxa"/>
              <w:bottom w:w="80" w:type="dxa"/>
              <w:right w:w="100" w:type="dxa"/>
            </w:tcMar>
          </w:tcPr>
          <w:p>
            <w:pPr>
              <w:pStyle w:val="TableText"/>
              <w:spacing w:after="70"/>
            </w:pPr>
            <w:r>
              <w:rPr>
                <w:color w:val="172033"/>
                <w:sz w:val="19"/>
                <w:szCs w:val="19"/>
              </w:rPr>
              <w:t xml:space="preserve">Served AUC</w:t>
            </w:r>
          </w:p>
        </w:tc>
        <w:tc>
          <w:tcPr>
            <w:tcW w:w="3600" w:type="dxa"/>
            <w:shd w:val="clear" w:fill="FFFFFF"/>
            <w:tcMar>
              <w:top w:w="80" w:type="dxa"/>
              <w:left w:w="100" w:type="dxa"/>
              <w:bottom w:w="80" w:type="dxa"/>
              <w:right w:w="100" w:type="dxa"/>
            </w:tcMar>
          </w:tcPr>
          <w:p>
            <w:pPr>
              <w:pStyle w:val="TableText"/>
              <w:spacing w:after="70"/>
            </w:pPr>
            <w:r>
              <w:rPr>
                <w:color w:val="172033"/>
                <w:sz w:val="19"/>
                <w:szCs w:val="19"/>
              </w:rPr>
              <w:t xml:space="preserve">Final application ordering including deterministic non-ID exact-tie policy.</w:t>
            </w:r>
          </w:p>
        </w:tc>
        <w:tc>
          <w:tcPr>
            <w:tcW w:w="3600" w:type="dxa"/>
            <w:shd w:val="clear" w:fill="FFFFFF"/>
            <w:tcMar>
              <w:top w:w="80" w:type="dxa"/>
              <w:left w:w="100" w:type="dxa"/>
              <w:bottom w:w="80" w:type="dxa"/>
              <w:right w:w="100" w:type="dxa"/>
            </w:tcMar>
          </w:tcPr>
          <w:p>
            <w:pPr>
              <w:pStyle w:val="TableText"/>
              <w:spacing w:after="70"/>
            </w:pPr>
            <w:r>
              <w:rPr>
                <w:color w:val="172033"/>
                <w:sz w:val="19"/>
                <w:szCs w:val="19"/>
              </w:rPr>
              <w:t xml:space="preserve">Primary reported ranking result.</w:t>
            </w:r>
          </w:p>
        </w:tc>
      </w:tr>
      <w:tr>
        <w:tc>
          <w:tcPr>
            <w:tcW w:w="1800" w:type="dxa"/>
            <w:shd w:val="clear" w:fill="F8FAFC"/>
            <w:tcMar>
              <w:top w:w="80" w:type="dxa"/>
              <w:left w:w="100" w:type="dxa"/>
              <w:bottom w:w="80" w:type="dxa"/>
              <w:right w:w="100" w:type="dxa"/>
            </w:tcMar>
          </w:tcPr>
          <w:p>
            <w:pPr>
              <w:pStyle w:val="TableText"/>
              <w:spacing w:after="70"/>
            </w:pPr>
            <w:r>
              <w:rPr>
                <w:color w:val="172033"/>
                <w:sz w:val="19"/>
                <w:szCs w:val="19"/>
              </w:rPr>
              <w:t xml:space="preserve">Pair-proof reliability</w:t>
            </w:r>
          </w:p>
        </w:tc>
        <w:tc>
          <w:tcPr>
            <w:tcW w:w="3600" w:type="dxa"/>
            <w:shd w:val="clear" w:fill="F8FAFC"/>
            <w:tcMar>
              <w:top w:w="80" w:type="dxa"/>
              <w:left w:w="100" w:type="dxa"/>
              <w:bottom w:w="80" w:type="dxa"/>
              <w:right w:w="100" w:type="dxa"/>
            </w:tcMar>
          </w:tcPr>
          <w:p>
            <w:pPr>
              <w:pStyle w:val="TableText"/>
              <w:spacing w:after="70"/>
            </w:pPr>
            <w:r>
              <w:rPr>
                <w:color w:val="172033"/>
                <w:sz w:val="19"/>
                <w:szCs w:val="19"/>
              </w:rPr>
              <w:t xml:space="preserve">Macro-impression Brier score, log loss and ECE for each active PairSignal posterior 0.5+c(s−0.5) on held-out clicked-versus-nonclicked orientations.</w:t>
            </w:r>
          </w:p>
        </w:tc>
        <w:tc>
          <w:tcPr>
            <w:tcW w:w="3600" w:type="dxa"/>
            <w:shd w:val="clear" w:fill="F8FAFC"/>
            <w:tcMar>
              <w:top w:w="80" w:type="dxa"/>
              <w:left w:w="100" w:type="dxa"/>
              <w:bottom w:w="80" w:type="dxa"/>
              <w:right w:w="100" w:type="dxa"/>
            </w:tcMar>
          </w:tcPr>
          <w:p>
            <w:pPr>
              <w:pStyle w:val="TableText"/>
              <w:spacing w:after="70"/>
            </w:pPr>
            <w:r>
              <w:rPr>
                <w:color w:val="172033"/>
                <w:sz w:val="19"/>
                <w:szCs w:val="19"/>
              </w:rPr>
              <w:t xml:space="preserve">Checks probabilistic reliability without treating the ordinal tournament score as a calibrated probability.</w:t>
            </w:r>
          </w:p>
        </w:tc>
      </w:tr>
    </w:tbl>
    <w:p>
      <w:pPr>
        <w:spacing w:after="100"/>
      </w:pPr>
    </w:p>
    <w:p>
      <w:pPr>
        <w:pStyle w:val="Normal"/>
      </w:pPr>
      <w:r>
        <w:t xml:space="preserve">The machine-readable result also reports same_cohort_baselines on the exact held-out impressions and candidate slates used by the evaluated ranker. training_click_count_popularity_auc orders only by article click counts from the frozen training snapshot; pointwise_symbolic_auc uses candidate-level symbolic proofs and the normal training-only exact-tie policy before the pair tournament. Both carry impression-bootstrap intervals. Popularity is diagnostic only and is never a serving or no-proof fallback.</w:t>
      </w:r>
    </w:p>
    <w:p>
      <w:pPr>
        <w:pStyle w:val="Heading1"/>
        <w:keepNext/>
      </w:pPr>
      <w:r>
        <w:t xml:space="preserve">5. Accuracy results</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600"/>
        <w:gridCol w:w="2600"/>
        <w:gridCol w:w="3800"/>
      </w:tblGrid>
      <w:tr>
        <w:trPr>
          <w:tblHeader/>
        </w:trPr>
        <w:tc>
          <w:tcPr>
            <w:tcW w:w="2600" w:type="dxa"/>
            <w:shd w:val="clear" w:fill="0F766E"/>
            <w:tcMar>
              <w:top w:w="80" w:type="dxa"/>
              <w:left w:w="100" w:type="dxa"/>
              <w:bottom w:w="80" w:type="dxa"/>
              <w:right w:w="100" w:type="dxa"/>
            </w:tcMar>
          </w:tcPr>
          <w:p>
            <w:pPr>
              <w:pStyle w:val="TableText"/>
              <w:spacing w:after="70"/>
            </w:pPr>
            <w:r>
              <w:rPr>
                <w:b/>
                <w:color w:val="FFFFFF"/>
                <w:sz w:val="19"/>
                <w:szCs w:val="19"/>
              </w:rPr>
              <w:t xml:space="preserve">Metric</w:t>
            </w:r>
          </w:p>
        </w:tc>
        <w:tc>
          <w:tcPr>
            <w:tcW w:w="2600" w:type="dxa"/>
            <w:shd w:val="clear" w:fill="0F766E"/>
            <w:tcMar>
              <w:top w:w="80" w:type="dxa"/>
              <w:left w:w="100" w:type="dxa"/>
              <w:bottom w:w="80" w:type="dxa"/>
              <w:right w:w="100" w:type="dxa"/>
            </w:tcMar>
          </w:tcPr>
          <w:p>
            <w:pPr>
              <w:pStyle w:val="TableText"/>
              <w:spacing w:after="70"/>
            </w:pPr>
            <w:r>
              <w:rPr>
                <w:b/>
                <w:color w:val="FFFFFF"/>
                <w:sz w:val="19"/>
                <w:szCs w:val="19"/>
              </w:rPr>
              <w:t xml:space="preserve">Measured value</w:t>
            </w:r>
          </w:p>
        </w:tc>
        <w:tc>
          <w:tcPr>
            <w:tcW w:w="3800" w:type="dxa"/>
            <w:shd w:val="clear" w:fill="0F766E"/>
            <w:tcMar>
              <w:top w:w="80" w:type="dxa"/>
              <w:left w:w="100" w:type="dxa"/>
              <w:bottom w:w="80" w:type="dxa"/>
              <w:right w:w="100" w:type="dxa"/>
            </w:tcMar>
          </w:tcPr>
          <w:p>
            <w:pPr>
              <w:pStyle w:val="TableText"/>
              <w:spacing w:after="70"/>
            </w:pPr>
            <w:r>
              <w:rPr>
                <w:b/>
                <w:color w:val="FFFFFF"/>
                <w:sz w:val="19"/>
                <w:szCs w:val="19"/>
              </w:rPr>
              <w:t xml:space="preserve">Interpretation</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Served AUC</w:t>
            </w:r>
          </w:p>
        </w:tc>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0.6890846301</w:t>
            </w:r>
          </w:p>
        </w:tc>
        <w:tc>
          <w:tcPr>
            <w:tcW w:w="3800" w:type="dxa"/>
            <w:shd w:val="clear" w:fill="FFFFFF"/>
            <w:tcMar>
              <w:top w:w="80" w:type="dxa"/>
              <w:left w:w="100" w:type="dxa"/>
              <w:bottom w:w="80" w:type="dxa"/>
              <w:right w:w="100" w:type="dxa"/>
            </w:tcMar>
          </w:tcPr>
          <w:p>
            <w:pPr>
              <w:pStyle w:val="TableText"/>
              <w:spacing w:after="70"/>
            </w:pPr>
            <w:r>
              <w:rPr>
                <w:color w:val="172033"/>
                <w:sz w:val="19"/>
                <w:szCs w:val="19"/>
              </w:rPr>
              <w:t xml:space="preserve">Final application ordering on the complete retained slates.</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Proof-derived AUC</w:t>
            </w:r>
          </w:p>
        </w:tc>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0.6890548267</w:t>
            </w:r>
          </w:p>
        </w:tc>
        <w:tc>
          <w:tcPr>
            <w:tcW w:w="3800" w:type="dxa"/>
            <w:shd w:val="clear" w:fill="F8FAFC"/>
            <w:tcMar>
              <w:top w:w="80" w:type="dxa"/>
              <w:left w:w="100" w:type="dxa"/>
              <w:bottom w:w="80" w:type="dxa"/>
              <w:right w:w="100" w:type="dxa"/>
            </w:tcMar>
          </w:tcPr>
          <w:p>
            <w:pPr>
              <w:pStyle w:val="TableText"/>
              <w:spacing w:after="70"/>
            </w:pPr>
            <w:r>
              <w:rPr>
                <w:color w:val="172033"/>
                <w:sz w:val="19"/>
                <w:szCs w:val="19"/>
              </w:rPr>
              <w:t xml:space="preserve">Discrimination of the proof-derived score signature before the served exact-tie policy.</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Served AUC 95% interval</w:t>
            </w:r>
          </w:p>
        </w:tc>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[0.6659, 0.7148]</w:t>
            </w:r>
          </w:p>
        </w:tc>
        <w:tc>
          <w:tcPr>
            <w:tcW w:w="3800" w:type="dxa"/>
            <w:shd w:val="clear" w:fill="FFFFFF"/>
            <w:tcMar>
              <w:top w:w="80" w:type="dxa"/>
              <w:left w:w="100" w:type="dxa"/>
              <w:bottom w:w="80" w:type="dxa"/>
              <w:right w:w="100" w:type="dxa"/>
            </w:tcMar>
          </w:tcPr>
          <w:p>
            <w:pPr>
              <w:pStyle w:val="TableText"/>
              <w:spacing w:after="70"/>
            </w:pPr>
            <w:r>
              <w:rPr>
                <w:color w:val="172033"/>
                <w:sz w:val="19"/>
                <w:szCs w:val="19"/>
              </w:rPr>
              <w:t xml:space="preserve">Impression-bootstrap uncertainty across the evaluated cohort.</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Proof-derived AUC 95% interval</w:t>
            </w:r>
          </w:p>
        </w:tc>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[0.6647, 0.7160]</w:t>
            </w:r>
          </w:p>
        </w:tc>
        <w:tc>
          <w:tcPr>
            <w:tcW w:w="3800" w:type="dxa"/>
            <w:shd w:val="clear" w:fill="F8FAFC"/>
            <w:tcMar>
              <w:top w:w="80" w:type="dxa"/>
              <w:left w:w="100" w:type="dxa"/>
              <w:bottom w:w="80" w:type="dxa"/>
              <w:right w:w="100" w:type="dxa"/>
            </w:tcMar>
          </w:tcPr>
          <w:p>
            <w:pPr>
              <w:pStyle w:val="TableText"/>
              <w:spacing w:after="70"/>
            </w:pPr>
            <w:r>
              <w:rPr>
                <w:color w:val="172033"/>
                <w:sz w:val="19"/>
                <w:szCs w:val="19"/>
              </w:rPr>
              <w:t xml:space="preserve">Impression-bootstrap uncertainty before the served exact-tie policy.</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MRR</w:t>
            </w:r>
          </w:p>
        </w:tc>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0.3416</w:t>
            </w:r>
          </w:p>
        </w:tc>
        <w:tc>
          <w:tcPr>
            <w:tcW w:w="3800" w:type="dxa"/>
            <w:shd w:val="clear" w:fill="FFFFFF"/>
            <w:tcMar>
              <w:top w:w="80" w:type="dxa"/>
              <w:left w:w="100" w:type="dxa"/>
              <w:bottom w:w="80" w:type="dxa"/>
              <w:right w:w="100" w:type="dxa"/>
            </w:tcMar>
          </w:tcPr>
          <w:p>
            <w:pPr>
              <w:pStyle w:val="TableText"/>
              <w:spacing w:after="70"/>
            </w:pPr>
            <w:r>
              <w:rPr>
                <w:color w:val="172033"/>
                <w:sz w:val="19"/>
                <w:szCs w:val="19"/>
              </w:rPr>
              <w:t xml:space="preserve">Official MIND-style mean reciprocal rank over every clicked candidate in each impression.</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nDCG@5</w:t>
            </w:r>
          </w:p>
        </w:tc>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0.3799</w:t>
            </w:r>
          </w:p>
        </w:tc>
        <w:tc>
          <w:tcPr>
            <w:tcW w:w="3800" w:type="dxa"/>
            <w:shd w:val="clear" w:fill="F8FAFC"/>
            <w:tcMar>
              <w:top w:w="80" w:type="dxa"/>
              <w:left w:w="100" w:type="dxa"/>
              <w:bottom w:w="80" w:type="dxa"/>
              <w:right w:w="100" w:type="dxa"/>
            </w:tcMar>
          </w:tcPr>
          <w:p>
            <w:pPr>
              <w:pStyle w:val="TableText"/>
              <w:spacing w:after="70"/>
            </w:pPr>
            <w:r>
              <w:rPr>
                <w:color w:val="172033"/>
                <w:sz w:val="19"/>
                <w:szCs w:val="19"/>
              </w:rPr>
              <w:t xml:space="preserve">Top-five relevance quality.</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nDCG@10</w:t>
            </w:r>
          </w:p>
        </w:tc>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0.4387</w:t>
            </w:r>
          </w:p>
        </w:tc>
        <w:tc>
          <w:tcPr>
            <w:tcW w:w="3800" w:type="dxa"/>
            <w:shd w:val="clear" w:fill="FFFFFF"/>
            <w:tcMar>
              <w:top w:w="80" w:type="dxa"/>
              <w:left w:w="100" w:type="dxa"/>
              <w:bottom w:w="80" w:type="dxa"/>
              <w:right w:w="100" w:type="dxa"/>
            </w:tcMar>
          </w:tcPr>
          <w:p>
            <w:pPr>
              <w:pStyle w:val="TableText"/>
              <w:spacing w:after="70"/>
            </w:pPr>
            <w:r>
              <w:rPr>
                <w:color w:val="172033"/>
                <w:sz w:val="19"/>
                <w:szCs w:val="19"/>
              </w:rPr>
              <w:t xml:space="preserve">Top-ten relevance quality.</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Candidate proof coverage</w:t>
            </w:r>
          </w:p>
        </w:tc>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1.0000</w:t>
            </w:r>
          </w:p>
        </w:tc>
        <w:tc>
          <w:tcPr>
            <w:tcW w:w="3800" w:type="dxa"/>
            <w:shd w:val="clear" w:fill="F8FAFC"/>
            <w:tcMar>
              <w:top w:w="80" w:type="dxa"/>
              <w:left w:w="100" w:type="dxa"/>
              <w:bottom w:w="80" w:type="dxa"/>
              <w:right w:w="100" w:type="dxa"/>
            </w:tcMar>
          </w:tcPr>
          <w:p>
            <w:pPr>
              <w:pStyle w:val="TableText"/>
              <w:spacing w:after="70"/>
            </w:pPr>
            <w:r>
              <w:rPr>
                <w:color w:val="172033"/>
                <w:sz w:val="19"/>
                <w:szCs w:val="19"/>
              </w:rPr>
              <w:t xml:space="preserve">Every evaluated candidate had point-proof evidence; coverage is not accuracy.</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Pair proof coverage</w:t>
            </w:r>
          </w:p>
        </w:tc>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0.9993</w:t>
            </w:r>
          </w:p>
        </w:tc>
        <w:tc>
          <w:tcPr>
            <w:tcW w:w="3800" w:type="dxa"/>
            <w:shd w:val="clear" w:fill="FFFFFF"/>
            <w:tcMar>
              <w:top w:w="80" w:type="dxa"/>
              <w:left w:w="100" w:type="dxa"/>
              <w:bottom w:w="80" w:type="dxa"/>
              <w:right w:w="100" w:type="dxa"/>
            </w:tcMar>
          </w:tcPr>
          <w:p>
            <w:pPr>
              <w:pStyle w:val="TableText"/>
              <w:spacing w:after="70"/>
            </w:pPr>
            <w:r>
              <w:rPr>
                <w:color w:val="172033"/>
                <w:sz w:val="19"/>
                <w:szCs w:val="19"/>
              </w:rPr>
              <w:t xml:space="preserve">Almost all candidate-opponent comparisons returned a proof in at least one orientation; this is not channel coverage.</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Random expected AUC</w:t>
            </w:r>
          </w:p>
        </w:tc>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0.5000</w:t>
            </w:r>
          </w:p>
        </w:tc>
        <w:tc>
          <w:tcPr>
            <w:tcW w:w="3800" w:type="dxa"/>
            <w:shd w:val="clear" w:fill="F8FAFC"/>
            <w:tcMar>
              <w:top w:w="80" w:type="dxa"/>
              <w:left w:w="100" w:type="dxa"/>
              <w:bottom w:w="80" w:type="dxa"/>
              <w:right w:w="100" w:type="dxa"/>
            </w:tcMar>
          </w:tcPr>
          <w:p>
            <w:pPr>
              <w:pStyle w:val="TableText"/>
              <w:spacing w:after="70"/>
            </w:pPr>
            <w:r>
              <w:rPr>
                <w:color w:val="172033"/>
                <w:sz w:val="19"/>
                <w:szCs w:val="19"/>
              </w:rPr>
              <w:t xml:space="preserve">Chance/tied ordering on the identical held-out candidate slates.</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Training click-count popularity AUC</w:t>
            </w:r>
          </w:p>
        </w:tc>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0.4979; 95% [0.4913, 0.5062]</w:t>
            </w:r>
          </w:p>
        </w:tc>
        <w:tc>
          <w:tcPr>
            <w:tcW w:w="3800" w:type="dxa"/>
            <w:shd w:val="clear" w:fill="FFFFFF"/>
            <w:tcMar>
              <w:top w:w="80" w:type="dxa"/>
              <w:left w:w="100" w:type="dxa"/>
              <w:bottom w:w="80" w:type="dxa"/>
              <w:right w:w="100" w:type="dxa"/>
            </w:tcMar>
          </w:tcPr>
          <w:p>
            <w:pPr>
              <w:pStyle w:val="TableText"/>
              <w:spacing w:after="70"/>
            </w:pPr>
            <w:r>
              <w:rPr>
                <w:color w:val="172033"/>
                <w:sz w:val="19"/>
                <w:szCs w:val="19"/>
              </w:rPr>
              <w:t xml:space="preserve">Frozen-training, same-cohort diagnostic; never used as a serving fallback.</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Pointwise symbolic AUC</w:t>
            </w:r>
          </w:p>
        </w:tc>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0.6129; 95% [0.5873, 0.6375]</w:t>
            </w:r>
          </w:p>
        </w:tc>
        <w:tc>
          <w:tcPr>
            <w:tcW w:w="3800" w:type="dxa"/>
            <w:shd w:val="clear" w:fill="F8FAFC"/>
            <w:tcMar>
              <w:top w:w="80" w:type="dxa"/>
              <w:left w:w="100" w:type="dxa"/>
              <w:bottom w:w="80" w:type="dxa"/>
              <w:right w:w="100" w:type="dxa"/>
            </w:tcMar>
          </w:tcPr>
          <w:p>
            <w:pPr>
              <w:pStyle w:val="TableText"/>
              <w:spacing w:after="70"/>
            </w:pPr>
            <w:r>
              <w:rPr>
                <w:color w:val="172033"/>
                <w:sz w:val="19"/>
                <w:szCs w:val="19"/>
              </w:rPr>
              <w:t xml:space="preserve">Candidate-level symbolic proofs on the identical held-out slates.</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Pairwise minus pointwise</w:t>
            </w:r>
          </w:p>
        </w:tc>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+0.0762; 95% [0.0541, 0.0990]</w:t>
            </w:r>
          </w:p>
        </w:tc>
        <w:tc>
          <w:tcPr>
            <w:tcW w:w="3800" w:type="dxa"/>
            <w:shd w:val="clear" w:fill="FFFFFF"/>
            <w:tcMar>
              <w:top w:w="80" w:type="dxa"/>
              <w:left w:w="100" w:type="dxa"/>
              <w:bottom w:w="80" w:type="dxa"/>
              <w:right w:w="100" w:type="dxa"/>
            </w:tcMar>
          </w:tcPr>
          <w:p>
            <w:pPr>
              <w:pStyle w:val="TableText"/>
              <w:spacing w:after="70"/>
            </w:pPr>
            <w:r>
              <w:rPr>
                <w:color w:val="172033"/>
                <w:sz w:val="19"/>
                <w:szCs w:val="19"/>
              </w:rPr>
              <w:t xml:space="preserve">Paired same-cohort diagnostic gap between the complete pairwise and pointwise pathways.</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Matched direct/PeTTa output</w:t>
            </w:r>
          </w:p>
        </w:tc>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AUC delta 0; 500/500 slate orders and 18,139/18,139 score signatures exact</w:t>
            </w:r>
          </w:p>
        </w:tc>
        <w:tc>
          <w:tcPr>
            <w:tcW w:w="3800" w:type="dxa"/>
            <w:shd w:val="clear" w:fill="F8FAFC"/>
            <w:tcMar>
              <w:top w:w="80" w:type="dxa"/>
              <w:left w:w="100" w:type="dxa"/>
              <w:bottom w:w="80" w:type="dxa"/>
              <w:right w:w="100" w:type="dxa"/>
            </w:tcMar>
          </w:tcPr>
          <w:p>
            <w:pPr>
              <w:pStyle w:val="TableText"/>
              <w:spacing w:after="70"/>
            </w:pPr>
            <w:r>
              <w:rPr>
                <w:color w:val="172033"/>
                <w:sz w:val="19"/>
                <w:szCs w:val="19"/>
              </w:rPr>
              <w:t xml:space="preserve">Independent direct reconstruction reproduced the supported point-and-pair scoring output exactly; normal serving remained PeTTaChainer.</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Held-out PairSignal reliability</w:t>
            </w:r>
          </w:p>
        </w:tc>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Shrunk Brier 0.240956; ECE 0.084848</w:t>
            </w:r>
          </w:p>
        </w:tc>
        <w:tc>
          <w:tcPr>
            <w:tcW w:w="3800" w:type="dxa"/>
            <w:shd w:val="clear" w:fill="FFFFFF"/>
            <w:tcMar>
              <w:top w:w="80" w:type="dxa"/>
              <w:left w:w="100" w:type="dxa"/>
              <w:bottom w:w="80" w:type="dxa"/>
              <w:right w:w="100" w:type="dxa"/>
            </w:tcMar>
          </w:tcPr>
          <w:p>
            <w:pPr>
              <w:pStyle w:val="TableText"/>
              <w:spacing w:after="70"/>
            </w:pPr>
            <w:r>
              <w:rPr>
                <w:color w:val="172033"/>
                <w:sz w:val="19"/>
                <w:szCs w:val="19"/>
              </w:rPr>
              <w:t xml:space="preserve">Raw-strength reference: Brier 0.232817 and ECE 0.009158; Brier delta +0.008139, 95% [0.0043, 0.0120], so the current confidence shrinkage did not improve this held-out reliability diagnostic.</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Ranking pipeline</w:t>
            </w:r>
          </w:p>
        </w:tc>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270.196 seconds</w:t>
            </w:r>
          </w:p>
        </w:tc>
        <w:tc>
          <w:tcPr>
            <w:tcW w:w="3800" w:type="dxa"/>
            <w:shd w:val="clear" w:fill="F8FAFC"/>
            <w:tcMar>
              <w:top w:w="80" w:type="dxa"/>
              <w:left w:w="100" w:type="dxa"/>
              <w:bottom w:w="80" w:type="dxa"/>
              <w:right w:w="100" w:type="dxa"/>
            </w:tcMar>
          </w:tcPr>
          <w:p>
            <w:pPr>
              <w:pStyle w:val="TableText"/>
              <w:spacing w:after="70"/>
            </w:pPr>
            <w:r>
              <w:rPr>
                <w:color w:val="172033"/>
                <w:sz w:val="19"/>
                <w:szCs w:val="19"/>
              </w:rPr>
              <w:t xml:space="preserve">Candidate preparation, point reasoning, pair planning/reasoning and rank aggregation; excludes retrieval, metrics and audits.</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Evaluation wall time</w:t>
            </w:r>
          </w:p>
        </w:tc>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486.625 seconds</w:t>
            </w:r>
          </w:p>
        </w:tc>
        <w:tc>
          <w:tcPr>
            <w:tcW w:w="3800" w:type="dxa"/>
            <w:shd w:val="clear" w:fill="FFFFFF"/>
            <w:tcMar>
              <w:top w:w="80" w:type="dxa"/>
              <w:left w:w="100" w:type="dxa"/>
              <w:bottom w:w="80" w:type="dxa"/>
              <w:right w:w="100" w:type="dxa"/>
            </w:tcMar>
          </w:tcPr>
          <w:p>
            <w:pPr>
              <w:pStyle w:val="TableText"/>
              <w:spacing w:after="70"/>
            </w:pPr>
            <w:r>
              <w:rPr>
                <w:color w:val="172033"/>
                <w:sz w:val="19"/>
                <w:szCs w:val="19"/>
              </w:rPr>
              <w:t xml:space="preserve">Ranking plus held-out reliability, metrics, parity audit and matched-direct diagnostic.</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Total artifact wall time</w:t>
            </w:r>
          </w:p>
        </w:tc>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804.842 seconds</w:t>
            </w:r>
          </w:p>
        </w:tc>
        <w:tc>
          <w:tcPr>
            <w:tcW w:w="3800" w:type="dxa"/>
            <w:shd w:val="clear" w:fill="F8FAFC"/>
            <w:tcMar>
              <w:top w:w="80" w:type="dxa"/>
              <w:left w:w="100" w:type="dxa"/>
              <w:bottom w:w="80" w:type="dxa"/>
              <w:right w:w="100" w:type="dxa"/>
            </w:tcMar>
          </w:tcPr>
          <w:p>
            <w:pPr>
              <w:pStyle w:val="TableText"/>
              <w:spacing w:after="70"/>
            </w:pPr>
            <w:r>
              <w:rPr>
                <w:color w:val="172033"/>
                <w:sz w:val="19"/>
                <w:szCs w:val="19"/>
              </w:rPr>
              <w:t xml:space="preserve">Complete experiment command, including preparation outside the evaluation timer.</w:t>
            </w:r>
          </w:p>
        </w:tc>
      </w:tr>
    </w:tbl>
    <w:p>
      <w:pPr>
        <w:spacing w:after="100"/>
      </w:pPr>
    </w:p>
    <w:p>
      <w:pPr>
        <w:pStyle w:val="Normal"/>
      </w:pPr>
      <w:r>
        <w:t xml:space="preserve">The pairwise-versus-pointwise diagnostic compares two complete pathways with different fact families, case construction, rule budgets and aggregation. It therefore does not attribute the entire difference solely to pairwise reasoning. The separate matched scoring-output diagnostic below replaces both point and pair proof results while keeping the supported downstream computation fixed; it tests reproducibility, not a unique AUC increment caused by the reasoner.</w:t>
      </w:r>
    </w:p>
    <w:p>
      <w:pPr>
        <w:pStyle w:val="Normal"/>
      </w:pPr>
      <w:r>
        <w:t xml:space="preserve">Current benchmark output records proof-cache hits and misses at unique point/pair-case and factorized point/pair-channel scope, labels execution cold, warm or mixed, and accepts force_cold_proof_cache for a matched proof-result cold run without changing compiled rules or grounded facts. The configured cache bound is 250,000 entries per guarded collection by default (hard ceiling 1,000,000), and candidate facts, proofs and pair margins fail before insertion when full. The scorer recovery journal likewise fails before worker mutation above 50,000 acknowledged mutations or 250,000 statements. The output also reports ranking_pipeline_seconds as candidate preparation, point reasoning, pair planning, pair reasoning and rank aggregation; mining, candidate retrieval, metric calculation and the independent parity audit are excluded from that timing.</w:t>
      </w:r>
    </w:p>
    <w:p>
      <w:pPr>
        <w:pStyle w:val="Normal"/>
      </w:pPr>
      <w:r>
        <w:t xml:space="preserve">Pair-work fields distinguish observations from safety settings. ranking_workload.unordered_pair_comparisons is the observed cohort total and maximum_unordered_pair_comparisons_in_one_slate is the observed peak slate. configured_max_total_unordered_pair_comparisons and configured_max_unordered_pair_comparisons_per_slate are ceilings, not measured workloads; oriented_pair_cases is the realized forward/reverse case count.</w:t>
      </w:r>
    </w:p>
    <w:p>
      <w:pPr>
        <w:pStyle w:val="Normal"/>
      </w:pPr>
      <w:r>
        <w:t xml:space="preserve">The bounded parity audit grounds the selected cases' actual categorical facts in a disposable PeTTaChainer worker and queries every selected case × compiled PairSignal channel root. It does not reuse or mutate the live scorer's host-gated proof path or proof caches.</w:t>
      </w:r>
    </w:p>
    <w:p>
      <w:pPr>
        <w:pStyle w:val="Normal"/>
      </w:pPr>
      <w:r>
        <w:t xml:space="preserve">The benchmark ran the opt-in matched_direct_reasoner_ablation. Weighted point aggregation uses compiler-issued, single-producer PointSignal channels so every host-applicable mined rule has one independently queried PeTTa root; absence of an expected root fails closed. For the supported isolated point-and-pair topology, the diagnostic reconstructs channel activations/STVs, preserves identical candidate slates and pair edges/orientations, and reuses the same aggregation, margin transforms, family fusion and tie policy. Direct reconstruction and PeTTaChainer matched on all 500 slate orders and all 18,139 candidate score signatures, with AUC delta exactly zero. Normal ranking remained PeTTaChainer with no direct fallback. Equality establishes scoring/ranking-output equivalence for the checked topology, not identical proof trees.</w:t>
      </w:r>
    </w:p>
    <w:p>
      <w:pPr>
        <w:pStyle w:val="Normal"/>
      </w:pPr>
      <w:r>
        <w:t xml:space="preserve">The heldout_pair_proof_reliability diagnostic gives every source impression total weight one across all active proof channels and both mirrored orientations. It reports Brier score, log loss and ten-bin expected calibration error for confidence-shrunk proof posteriors and for raw strengths. This tests whether confidence improves held-out reliability inside the rule target population; it is not universal arbitrary-pair calibration.</w:t>
      </w:r>
    </w:p>
    <w:p>
      <w:pPr>
        <w:pStyle w:val="Heading1"/>
        <w:keepNext/>
      </w:pPr>
      <w:r>
        <w:t xml:space="preserve">6. Computation and real-time responsiveness</w:t>
      </w:r>
    </w:p>
    <w:p>
      <w:pPr>
        <w:pStyle w:val="Normal"/>
      </w:pPr>
      <w:r>
        <w:t xml:space="preserve">The authoritative cold-cache replay exercised the full native candidate slates. It admitted every one of the 18,139 logged candidates, including all 789 relevant items, and performed complete all-pairs ranking within each slate subject to explicit fail-closed comparison limits. Candidate retrieval itself was not part of the timed ranking pipeline.</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300"/>
        <w:gridCol w:w="2900"/>
        <w:gridCol w:w="3800"/>
      </w:tblGrid>
      <w:tr>
        <w:trPr>
          <w:tblHeader/>
        </w:trPr>
        <w:tc>
          <w:tcPr>
            <w:tcW w:w="2300" w:type="dxa"/>
            <w:shd w:val="clear" w:fill="0F766E"/>
            <w:tcMar>
              <w:top w:w="80" w:type="dxa"/>
              <w:left w:w="100" w:type="dxa"/>
              <w:bottom w:w="80" w:type="dxa"/>
              <w:right w:w="100" w:type="dxa"/>
            </w:tcMar>
          </w:tcPr>
          <w:p>
            <w:pPr>
              <w:pStyle w:val="TableText"/>
              <w:spacing w:after="70"/>
            </w:pPr>
            <w:r>
              <w:rPr>
                <w:b/>
                <w:color w:val="FFFFFF"/>
                <w:sz w:val="19"/>
                <w:szCs w:val="19"/>
              </w:rPr>
              <w:t xml:space="preserve">Replay workload</w:t>
            </w:r>
          </w:p>
        </w:tc>
        <w:tc>
          <w:tcPr>
            <w:tcW w:w="2900" w:type="dxa"/>
            <w:shd w:val="clear" w:fill="0F766E"/>
            <w:tcMar>
              <w:top w:w="80" w:type="dxa"/>
              <w:left w:w="100" w:type="dxa"/>
              <w:bottom w:w="80" w:type="dxa"/>
              <w:right w:w="100" w:type="dxa"/>
            </w:tcMar>
          </w:tcPr>
          <w:p>
            <w:pPr>
              <w:pStyle w:val="TableText"/>
              <w:spacing w:after="70"/>
            </w:pPr>
            <w:r>
              <w:rPr>
                <w:b/>
                <w:color w:val="FFFFFF"/>
                <w:sz w:val="19"/>
                <w:szCs w:val="19"/>
              </w:rPr>
              <w:t xml:space="preserve">Observed result</w:t>
            </w:r>
          </w:p>
        </w:tc>
        <w:tc>
          <w:tcPr>
            <w:tcW w:w="3800" w:type="dxa"/>
            <w:shd w:val="clear" w:fill="0F766E"/>
            <w:tcMar>
              <w:top w:w="80" w:type="dxa"/>
              <w:left w:w="100" w:type="dxa"/>
              <w:bottom w:w="80" w:type="dxa"/>
              <w:right w:w="100" w:type="dxa"/>
            </w:tcMar>
          </w:tcPr>
          <w:p>
            <w:pPr>
              <w:pStyle w:val="TableText"/>
              <w:spacing w:after="70"/>
            </w:pPr>
            <w:r>
              <w:rPr>
                <w:b/>
                <w:color w:val="FFFFFF"/>
                <w:sz w:val="19"/>
                <w:szCs w:val="19"/>
              </w:rPr>
              <w:t xml:space="preserve">Bound or timing scope</w:t>
            </w:r>
          </w:p>
        </w:tc>
      </w:tr>
      <w:tr>
        <w:tc>
          <w:tcPr>
            <w:tcW w:w="2300" w:type="dxa"/>
            <w:shd w:val="clear" w:fill="FFFFFF"/>
            <w:tcMar>
              <w:top w:w="80" w:type="dxa"/>
              <w:left w:w="100" w:type="dxa"/>
              <w:bottom w:w="80" w:type="dxa"/>
              <w:right w:w="100" w:type="dxa"/>
            </w:tcMar>
          </w:tcPr>
          <w:p>
            <w:pPr>
              <w:pStyle w:val="TableText"/>
              <w:spacing w:after="70"/>
            </w:pPr>
            <w:r>
              <w:rPr>
                <w:color w:val="172033"/>
                <w:sz w:val="19"/>
                <w:szCs w:val="19"/>
              </w:rPr>
              <w:t xml:space="preserve">Largest native slate</w:t>
            </w:r>
          </w:p>
        </w:tc>
        <w:tc>
          <w:tcPr>
            <w:tcW w:w="2900" w:type="dxa"/>
            <w:shd w:val="clear" w:fill="FFFFFF"/>
            <w:tcMar>
              <w:top w:w="80" w:type="dxa"/>
              <w:left w:w="100" w:type="dxa"/>
              <w:bottom w:w="80" w:type="dxa"/>
              <w:right w:w="100" w:type="dxa"/>
            </w:tcMar>
          </w:tcPr>
          <w:p>
            <w:pPr>
              <w:pStyle w:val="TableText"/>
              <w:spacing w:after="70"/>
            </w:pPr>
            <w:r>
              <w:rPr>
                <w:color w:val="172033"/>
                <w:sz w:val="19"/>
                <w:szCs w:val="19"/>
              </w:rPr>
              <w:t xml:space="preserve">252 candidates</w:t>
            </w:r>
          </w:p>
        </w:tc>
        <w:tc>
          <w:tcPr>
            <w:tcW w:w="3800" w:type="dxa"/>
            <w:shd w:val="clear" w:fill="FFFFFF"/>
            <w:tcMar>
              <w:top w:w="80" w:type="dxa"/>
              <w:left w:w="100" w:type="dxa"/>
              <w:bottom w:w="80" w:type="dxa"/>
              <w:right w:w="100" w:type="dxa"/>
            </w:tcMar>
          </w:tcPr>
          <w:p>
            <w:pPr>
              <w:pStyle w:val="TableText"/>
              <w:spacing w:after="70"/>
            </w:pPr>
            <w:r>
              <w:rPr>
                <w:color w:val="172033"/>
                <w:sz w:val="19"/>
                <w:szCs w:val="19"/>
              </w:rPr>
              <w:t xml:space="preserve">31,626 unordered comparisons; below the configured 32,768 per-slate ceiling.</w:t>
            </w:r>
          </w:p>
        </w:tc>
      </w:tr>
      <w:tr>
        <w:tc>
          <w:tcPr>
            <w:tcW w:w="2300" w:type="dxa"/>
            <w:shd w:val="clear" w:fill="F8FAFC"/>
            <w:tcMar>
              <w:top w:w="80" w:type="dxa"/>
              <w:left w:w="100" w:type="dxa"/>
              <w:bottom w:w="80" w:type="dxa"/>
              <w:right w:w="100" w:type="dxa"/>
            </w:tcMar>
          </w:tcPr>
          <w:p>
            <w:pPr>
              <w:pStyle w:val="TableText"/>
              <w:spacing w:after="70"/>
            </w:pPr>
            <w:r>
              <w:rPr>
                <w:color w:val="172033"/>
                <w:sz w:val="19"/>
                <w:szCs w:val="19"/>
              </w:rPr>
              <w:t xml:space="preserve">Complete cohort</w:t>
            </w:r>
          </w:p>
        </w:tc>
        <w:tc>
          <w:tcPr>
            <w:tcW w:w="2900" w:type="dxa"/>
            <w:shd w:val="clear" w:fill="F8FAFC"/>
            <w:tcMar>
              <w:top w:w="80" w:type="dxa"/>
              <w:left w:w="100" w:type="dxa"/>
              <w:bottom w:w="80" w:type="dxa"/>
              <w:right w:w="100" w:type="dxa"/>
            </w:tcMar>
          </w:tcPr>
          <w:p>
            <w:pPr>
              <w:pStyle w:val="TableText"/>
              <w:spacing w:after="70"/>
            </w:pPr>
            <w:r>
              <w:rPr>
                <w:color w:val="172033"/>
                <w:sz w:val="19"/>
                <w:szCs w:val="19"/>
              </w:rPr>
              <w:t xml:space="preserve">673,510 unordered; 1,347,020 oriented pair cases</w:t>
            </w:r>
          </w:p>
        </w:tc>
        <w:tc>
          <w:tcPr>
            <w:tcW w:w="3800" w:type="dxa"/>
            <w:shd w:val="clear" w:fill="F8FAFC"/>
            <w:tcMar>
              <w:top w:w="80" w:type="dxa"/>
              <w:left w:w="100" w:type="dxa"/>
              <w:bottom w:w="80" w:type="dxa"/>
              <w:right w:w="100" w:type="dxa"/>
            </w:tcMar>
          </w:tcPr>
          <w:p>
            <w:pPr>
              <w:pStyle w:val="TableText"/>
              <w:spacing w:after="70"/>
            </w:pPr>
            <w:r>
              <w:rPr>
                <w:color w:val="172033"/>
                <w:sz w:val="19"/>
                <w:szCs w:val="19"/>
              </w:rPr>
              <w:t xml:space="preserve">Below the configured 1,000,000 total-unordered-comparison ceiling.</w:t>
            </w:r>
          </w:p>
        </w:tc>
      </w:tr>
      <w:tr>
        <w:tc>
          <w:tcPr>
            <w:tcW w:w="2300" w:type="dxa"/>
            <w:shd w:val="clear" w:fill="FFFFFF"/>
            <w:tcMar>
              <w:top w:w="80" w:type="dxa"/>
              <w:left w:w="100" w:type="dxa"/>
              <w:bottom w:w="80" w:type="dxa"/>
              <w:right w:w="100" w:type="dxa"/>
            </w:tcMar>
          </w:tcPr>
          <w:p>
            <w:pPr>
              <w:pStyle w:val="TableText"/>
              <w:spacing w:after="70"/>
            </w:pPr>
            <w:r>
              <w:rPr>
                <w:color w:val="172033"/>
                <w:sz w:val="19"/>
                <w:szCs w:val="19"/>
              </w:rPr>
              <w:t xml:space="preserve">Point reasoning</w:t>
            </w:r>
          </w:p>
        </w:tc>
        <w:tc>
          <w:tcPr>
            <w:tcW w:w="2900" w:type="dxa"/>
            <w:shd w:val="clear" w:fill="FFFFFF"/>
            <w:tcMar>
              <w:top w:w="80" w:type="dxa"/>
              <w:left w:w="100" w:type="dxa"/>
              <w:bottom w:w="80" w:type="dxa"/>
              <w:right w:w="100" w:type="dxa"/>
            </w:tcMar>
          </w:tcPr>
          <w:p>
            <w:pPr>
              <w:pStyle w:val="TableText"/>
              <w:spacing w:after="70"/>
            </w:pPr>
            <w:r>
              <w:rPr>
                <w:color w:val="172033"/>
                <w:sz w:val="19"/>
                <w:szCs w:val="19"/>
              </w:rPr>
              <w:t xml:space="preserve">11.720 seconds</w:t>
            </w:r>
          </w:p>
        </w:tc>
        <w:tc>
          <w:tcPr>
            <w:tcW w:w="3800" w:type="dxa"/>
            <w:shd w:val="clear" w:fill="FFFFFF"/>
            <w:tcMar>
              <w:top w:w="80" w:type="dxa"/>
              <w:left w:w="100" w:type="dxa"/>
              <w:bottom w:w="80" w:type="dxa"/>
              <w:right w:w="100" w:type="dxa"/>
            </w:tcMar>
          </w:tcPr>
          <w:p>
            <w:pPr>
              <w:pStyle w:val="TableText"/>
              <w:spacing w:after="70"/>
            </w:pPr>
            <w:r>
              <w:rPr>
                <w:color w:val="172033"/>
                <w:sz w:val="19"/>
                <w:szCs w:val="19"/>
              </w:rPr>
              <w:t xml:space="preserve">Cold factorized PointSignal proof queries for the cohort.</w:t>
            </w:r>
          </w:p>
        </w:tc>
      </w:tr>
      <w:tr>
        <w:tc>
          <w:tcPr>
            <w:tcW w:w="2300" w:type="dxa"/>
            <w:shd w:val="clear" w:fill="F8FAFC"/>
            <w:tcMar>
              <w:top w:w="80" w:type="dxa"/>
              <w:left w:w="100" w:type="dxa"/>
              <w:bottom w:w="80" w:type="dxa"/>
              <w:right w:w="100" w:type="dxa"/>
            </w:tcMar>
          </w:tcPr>
          <w:p>
            <w:pPr>
              <w:pStyle w:val="TableText"/>
              <w:spacing w:after="70"/>
            </w:pPr>
            <w:r>
              <w:rPr>
                <w:color w:val="172033"/>
                <w:sz w:val="19"/>
                <w:szCs w:val="19"/>
              </w:rPr>
              <w:t xml:space="preserve">Pair planning</w:t>
            </w:r>
          </w:p>
        </w:tc>
        <w:tc>
          <w:tcPr>
            <w:tcW w:w="2900" w:type="dxa"/>
            <w:shd w:val="clear" w:fill="F8FAFC"/>
            <w:tcMar>
              <w:top w:w="80" w:type="dxa"/>
              <w:left w:w="100" w:type="dxa"/>
              <w:bottom w:w="80" w:type="dxa"/>
              <w:right w:w="100" w:type="dxa"/>
            </w:tcMar>
          </w:tcPr>
          <w:p>
            <w:pPr>
              <w:pStyle w:val="TableText"/>
              <w:spacing w:after="70"/>
            </w:pPr>
            <w:r>
              <w:rPr>
                <w:color w:val="172033"/>
                <w:sz w:val="19"/>
                <w:szCs w:val="19"/>
              </w:rPr>
              <w:t xml:space="preserve">241.817 seconds</w:t>
            </w:r>
          </w:p>
        </w:tc>
        <w:tc>
          <w:tcPr>
            <w:tcW w:w="3800" w:type="dxa"/>
            <w:shd w:val="clear" w:fill="F8FAFC"/>
            <w:tcMar>
              <w:top w:w="80" w:type="dxa"/>
              <w:left w:w="100" w:type="dxa"/>
              <w:bottom w:w="80" w:type="dxa"/>
              <w:right w:w="100" w:type="dxa"/>
            </w:tcMar>
          </w:tcPr>
          <w:p>
            <w:pPr>
              <w:pStyle w:val="TableText"/>
              <w:spacing w:after="70"/>
            </w:pPr>
            <w:r>
              <w:rPr>
                <w:color w:val="172033"/>
                <w:sz w:val="19"/>
                <w:szCs w:val="19"/>
              </w:rPr>
              <w:t xml:space="preserve">Dominant cost: construct and deduplicate complete comparison contexts.</w:t>
            </w:r>
          </w:p>
        </w:tc>
      </w:tr>
      <w:tr>
        <w:tc>
          <w:tcPr>
            <w:tcW w:w="2300" w:type="dxa"/>
            <w:shd w:val="clear" w:fill="FFFFFF"/>
            <w:tcMar>
              <w:top w:w="80" w:type="dxa"/>
              <w:left w:w="100" w:type="dxa"/>
              <w:bottom w:w="80" w:type="dxa"/>
              <w:right w:w="100" w:type="dxa"/>
            </w:tcMar>
          </w:tcPr>
          <w:p>
            <w:pPr>
              <w:pStyle w:val="TableText"/>
              <w:spacing w:after="70"/>
            </w:pPr>
            <w:r>
              <w:rPr>
                <w:color w:val="172033"/>
                <w:sz w:val="19"/>
                <w:szCs w:val="19"/>
              </w:rPr>
              <w:t xml:space="preserve">Pair reasoning</w:t>
            </w:r>
          </w:p>
        </w:tc>
        <w:tc>
          <w:tcPr>
            <w:tcW w:w="2900" w:type="dxa"/>
            <w:shd w:val="clear" w:fill="FFFFFF"/>
            <w:tcMar>
              <w:top w:w="80" w:type="dxa"/>
              <w:left w:w="100" w:type="dxa"/>
              <w:bottom w:w="80" w:type="dxa"/>
              <w:right w:w="100" w:type="dxa"/>
            </w:tcMar>
          </w:tcPr>
          <w:p>
            <w:pPr>
              <w:pStyle w:val="TableText"/>
              <w:spacing w:after="70"/>
            </w:pPr>
            <w:r>
              <w:rPr>
                <w:color w:val="172033"/>
                <w:sz w:val="19"/>
                <w:szCs w:val="19"/>
              </w:rPr>
              <w:t xml:space="preserve">2.542 seconds</w:t>
            </w:r>
          </w:p>
        </w:tc>
        <w:tc>
          <w:tcPr>
            <w:tcW w:w="3800" w:type="dxa"/>
            <w:shd w:val="clear" w:fill="FFFFFF"/>
            <w:tcMar>
              <w:top w:w="80" w:type="dxa"/>
              <w:left w:w="100" w:type="dxa"/>
              <w:bottom w:w="80" w:type="dxa"/>
              <w:right w:w="100" w:type="dxa"/>
            </w:tcMar>
          </w:tcPr>
          <w:p>
            <w:pPr>
              <w:pStyle w:val="TableText"/>
              <w:spacing w:after="70"/>
            </w:pPr>
            <w:r>
              <w:rPr>
                <w:color w:val="172033"/>
                <w:sz w:val="19"/>
                <w:szCs w:val="19"/>
              </w:rPr>
              <w:t xml:space="preserve">Cold factorized PairSignal proof queries after planning.</w:t>
            </w:r>
          </w:p>
        </w:tc>
      </w:tr>
      <w:tr>
        <w:tc>
          <w:tcPr>
            <w:tcW w:w="2300" w:type="dxa"/>
            <w:shd w:val="clear" w:fill="F8FAFC"/>
            <w:tcMar>
              <w:top w:w="80" w:type="dxa"/>
              <w:left w:w="100" w:type="dxa"/>
              <w:bottom w:w="80" w:type="dxa"/>
              <w:right w:w="100" w:type="dxa"/>
            </w:tcMar>
          </w:tcPr>
          <w:p>
            <w:pPr>
              <w:pStyle w:val="TableText"/>
              <w:spacing w:after="70"/>
            </w:pPr>
            <w:r>
              <w:rPr>
                <w:color w:val="172033"/>
                <w:sz w:val="19"/>
                <w:szCs w:val="19"/>
              </w:rPr>
              <w:t xml:space="preserve">Rank aggregation</w:t>
            </w:r>
          </w:p>
        </w:tc>
        <w:tc>
          <w:tcPr>
            <w:tcW w:w="2900" w:type="dxa"/>
            <w:shd w:val="clear" w:fill="F8FAFC"/>
            <w:tcMar>
              <w:top w:w="80" w:type="dxa"/>
              <w:left w:w="100" w:type="dxa"/>
              <w:bottom w:w="80" w:type="dxa"/>
              <w:right w:w="100" w:type="dxa"/>
            </w:tcMar>
          </w:tcPr>
          <w:p>
            <w:pPr>
              <w:pStyle w:val="TableText"/>
              <w:spacing w:after="70"/>
            </w:pPr>
            <w:r>
              <w:rPr>
                <w:color w:val="172033"/>
                <w:sz w:val="19"/>
                <w:szCs w:val="19"/>
              </w:rPr>
              <w:t xml:space="preserve">11.828 seconds</w:t>
            </w:r>
          </w:p>
        </w:tc>
        <w:tc>
          <w:tcPr>
            <w:tcW w:w="3800" w:type="dxa"/>
            <w:shd w:val="clear" w:fill="F8FAFC"/>
            <w:tcMar>
              <w:top w:w="80" w:type="dxa"/>
              <w:left w:w="100" w:type="dxa"/>
              <w:bottom w:w="80" w:type="dxa"/>
              <w:right w:w="100" w:type="dxa"/>
            </w:tcMar>
          </w:tcPr>
          <w:p>
            <w:pPr>
              <w:pStyle w:val="TableText"/>
              <w:spacing w:after="70"/>
            </w:pPr>
            <w:r>
              <w:rPr>
                <w:color w:val="172033"/>
                <w:sz w:val="19"/>
                <w:szCs w:val="19"/>
              </w:rPr>
              <w:t xml:space="preserve">Dependency selection, log-odds margins, family balancing and tournament ordering.</w:t>
            </w:r>
          </w:p>
        </w:tc>
      </w:tr>
      <w:tr>
        <w:tc>
          <w:tcPr>
            <w:tcW w:w="2300" w:type="dxa"/>
            <w:shd w:val="clear" w:fill="FFFFFF"/>
            <w:tcMar>
              <w:top w:w="80" w:type="dxa"/>
              <w:left w:w="100" w:type="dxa"/>
              <w:bottom w:w="80" w:type="dxa"/>
              <w:right w:w="100" w:type="dxa"/>
            </w:tcMar>
          </w:tcPr>
          <w:p>
            <w:pPr>
              <w:pStyle w:val="TableText"/>
              <w:spacing w:after="70"/>
            </w:pPr>
            <w:r>
              <w:rPr>
                <w:color w:val="172033"/>
                <w:sz w:val="19"/>
                <w:szCs w:val="19"/>
              </w:rPr>
              <w:t xml:space="preserve">Ranking pipeline</w:t>
            </w:r>
          </w:p>
        </w:tc>
        <w:tc>
          <w:tcPr>
            <w:tcW w:w="2900" w:type="dxa"/>
            <w:shd w:val="clear" w:fill="FFFFFF"/>
            <w:tcMar>
              <w:top w:w="80" w:type="dxa"/>
              <w:left w:w="100" w:type="dxa"/>
              <w:bottom w:w="80" w:type="dxa"/>
              <w:right w:w="100" w:type="dxa"/>
            </w:tcMar>
          </w:tcPr>
          <w:p>
            <w:pPr>
              <w:pStyle w:val="TableText"/>
              <w:spacing w:after="70"/>
            </w:pPr>
            <w:r>
              <w:rPr>
                <w:color w:val="172033"/>
                <w:sz w:val="19"/>
                <w:szCs w:val="19"/>
              </w:rPr>
              <w:t xml:space="preserve">270.196 seconds</w:t>
            </w:r>
          </w:p>
        </w:tc>
        <w:tc>
          <w:tcPr>
            <w:tcW w:w="3800" w:type="dxa"/>
            <w:shd w:val="clear" w:fill="FFFFFF"/>
            <w:tcMar>
              <w:top w:w="80" w:type="dxa"/>
              <w:left w:w="100" w:type="dxa"/>
              <w:bottom w:w="80" w:type="dxa"/>
              <w:right w:w="100" w:type="dxa"/>
            </w:tcMar>
          </w:tcPr>
          <w:p>
            <w:pPr>
              <w:pStyle w:val="TableText"/>
              <w:spacing w:after="70"/>
            </w:pPr>
            <w:r>
              <w:rPr>
                <w:color w:val="172033"/>
                <w:sz w:val="19"/>
                <w:szCs w:val="19"/>
              </w:rPr>
              <w:t xml:space="preserve">All preceding ranking stages plus 2.289 seconds candidate preparation; excludes retrieval, metrics and audits.</w:t>
            </w:r>
          </w:p>
        </w:tc>
      </w:tr>
    </w:tbl>
    <w:p>
      <w:pPr>
        <w:spacing w:after="100"/>
      </w:pPr>
    </w:p>
    <w:p>
      <w:pPr>
        <w:pStyle w:val="Normal"/>
      </w:pPr>
      <w:r>
        <w:t xml:space="preserve">The following measurements use real MIND data, the real PeTTa mining runtime and the real PeTTaChainer reasoning path on one local laboratory machine. A feed session admits 40 already available corpus articles, ranks them and returns five; feedback reranks the remaining 35. Initial ranking therefore evaluates at most 780 unordered pairs, and the first feedback rerank at most 595. Each unordered comparison is represented in both forward and reverse orientations, although identical rule-activation contexts can reuse cached proof templates.</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200"/>
        <w:gridCol w:w="3600"/>
        <w:gridCol w:w="3200"/>
      </w:tblGrid>
      <w:tr>
        <w:trPr>
          <w:tblHeader/>
        </w:trPr>
        <w:tc>
          <w:tcPr>
            <w:tcW w:w="2200" w:type="dxa"/>
            <w:shd w:val="clear" w:fill="0F766E"/>
            <w:tcMar>
              <w:top w:w="80" w:type="dxa"/>
              <w:left w:w="100" w:type="dxa"/>
              <w:bottom w:w="80" w:type="dxa"/>
              <w:right w:w="100" w:type="dxa"/>
            </w:tcMar>
          </w:tcPr>
          <w:p>
            <w:pPr>
              <w:pStyle w:val="TableText"/>
              <w:spacing w:after="70"/>
            </w:pPr>
            <w:r>
              <w:rPr>
                <w:b/>
                <w:color w:val="FFFFFF"/>
                <w:sz w:val="19"/>
                <w:szCs w:val="19"/>
              </w:rPr>
              <w:t xml:space="preserve">Measurement</w:t>
            </w:r>
          </w:p>
        </w:tc>
        <w:tc>
          <w:tcPr>
            <w:tcW w:w="3600" w:type="dxa"/>
            <w:shd w:val="clear" w:fill="0F766E"/>
            <w:tcMar>
              <w:top w:w="80" w:type="dxa"/>
              <w:left w:w="100" w:type="dxa"/>
              <w:bottom w:w="80" w:type="dxa"/>
              <w:right w:w="100" w:type="dxa"/>
            </w:tcMar>
          </w:tcPr>
          <w:p>
            <w:pPr>
              <w:pStyle w:val="TableText"/>
              <w:spacing w:after="70"/>
            </w:pPr>
            <w:r>
              <w:rPr>
                <w:b/>
                <w:color w:val="FFFFFF"/>
                <w:sz w:val="19"/>
                <w:szCs w:val="19"/>
              </w:rPr>
              <w:t xml:space="preserve">Observed result</w:t>
            </w:r>
          </w:p>
        </w:tc>
        <w:tc>
          <w:tcPr>
            <w:tcW w:w="3200" w:type="dxa"/>
            <w:shd w:val="clear" w:fill="0F766E"/>
            <w:tcMar>
              <w:top w:w="80" w:type="dxa"/>
              <w:left w:w="100" w:type="dxa"/>
              <w:bottom w:w="80" w:type="dxa"/>
              <w:right w:w="100" w:type="dxa"/>
            </w:tcMar>
          </w:tcPr>
          <w:p>
            <w:pPr>
              <w:pStyle w:val="TableText"/>
              <w:spacing w:after="70"/>
            </w:pPr>
            <w:r>
              <w:rPr>
                <w:b/>
                <w:color w:val="FFFFFF"/>
                <w:sz w:val="19"/>
                <w:szCs w:val="19"/>
              </w:rPr>
              <w:t xml:space="preserve">Meaning</w:t>
            </w:r>
          </w:p>
        </w:tc>
      </w:tr>
      <w:tr>
        <w:tc>
          <w:tcPr>
            <w:tcW w:w="2200" w:type="dxa"/>
            <w:shd w:val="clear" w:fill="FFFFFF"/>
            <w:tcMar>
              <w:top w:w="80" w:type="dxa"/>
              <w:left w:w="100" w:type="dxa"/>
              <w:bottom w:w="80" w:type="dxa"/>
              <w:right w:w="100" w:type="dxa"/>
            </w:tcMar>
          </w:tcPr>
          <w:p>
            <w:pPr>
              <w:pStyle w:val="TableText"/>
              <w:spacing w:after="70"/>
            </w:pPr>
            <w:r>
              <w:rPr>
                <w:color w:val="172033"/>
                <w:sz w:val="19"/>
                <w:szCs w:val="19"/>
              </w:rPr>
              <w:t xml:space="preserve">Candidate window</w:t>
            </w:r>
          </w:p>
        </w:tc>
        <w:tc>
          <w:tcPr>
            <w:tcW w:w="3600" w:type="dxa"/>
            <w:shd w:val="clear" w:fill="FFFFFF"/>
            <w:tcMar>
              <w:top w:w="80" w:type="dxa"/>
              <w:left w:w="100" w:type="dxa"/>
              <w:bottom w:w="80" w:type="dxa"/>
              <w:right w:w="100" w:type="dxa"/>
            </w:tcMar>
          </w:tcPr>
          <w:p>
            <w:pPr>
              <w:pStyle w:val="TableText"/>
              <w:spacing w:after="70"/>
            </w:pPr>
            <w:r>
              <w:rPr>
                <w:color w:val="172033"/>
                <w:sz w:val="19"/>
                <w:szCs w:val="19"/>
              </w:rPr>
              <w:t xml:space="preserve">40 admitted articles; five returned; 35 queued.</w:t>
            </w:r>
          </w:p>
        </w:tc>
        <w:tc>
          <w:tcPr>
            <w:tcW w:w="3200" w:type="dxa"/>
            <w:shd w:val="clear" w:fill="FFFFFF"/>
            <w:tcMar>
              <w:top w:w="80" w:type="dxa"/>
              <w:left w:w="100" w:type="dxa"/>
              <w:bottom w:w="80" w:type="dxa"/>
              <w:right w:w="100" w:type="dxa"/>
            </w:tcMar>
          </w:tcPr>
          <w:p>
            <w:pPr>
              <w:pStyle w:val="TableText"/>
              <w:spacing w:after="70"/>
            </w:pPr>
            <w:r>
              <w:rPr>
                <w:color w:val="172033"/>
                <w:sz w:val="19"/>
                <w:szCs w:val="19"/>
              </w:rPr>
              <w:t xml:space="preserve">Bounds measured pair scoring; corpus-scale retrieval is outside this measurement.</w:t>
            </w:r>
          </w:p>
        </w:tc>
      </w:tr>
      <w:tr>
        <w:tc>
          <w:tcPr>
            <w:tcW w:w="2200" w:type="dxa"/>
            <w:shd w:val="clear" w:fill="F8FAFC"/>
            <w:tcMar>
              <w:top w:w="80" w:type="dxa"/>
              <w:left w:w="100" w:type="dxa"/>
              <w:bottom w:w="80" w:type="dxa"/>
              <w:right w:w="100" w:type="dxa"/>
            </w:tcMar>
          </w:tcPr>
          <w:p>
            <w:pPr>
              <w:pStyle w:val="TableText"/>
              <w:spacing w:after="70"/>
            </w:pPr>
            <w:r>
              <w:rPr>
                <w:color w:val="172033"/>
                <w:sz w:val="19"/>
                <w:szCs w:val="19"/>
              </w:rPr>
              <w:t xml:space="preserve">Isolated browser skip</w:t>
            </w:r>
          </w:p>
        </w:tc>
        <w:tc>
          <w:tcPr>
            <w:tcW w:w="3600" w:type="dxa"/>
            <w:shd w:val="clear" w:fill="F8FAFC"/>
            <w:tcMar>
              <w:top w:w="80" w:type="dxa"/>
              <w:left w:w="100" w:type="dxa"/>
              <w:bottom w:w="80" w:type="dxa"/>
              <w:right w:w="100" w:type="dxa"/>
            </w:tcMar>
          </w:tcPr>
          <w:p>
            <w:pPr>
              <w:pStyle w:val="TableText"/>
              <w:spacing w:after="70"/>
            </w:pPr>
            <w:r>
              <w:rPr>
                <w:color w:val="172033"/>
                <w:sz w:val="19"/>
                <w:szCs w:val="19"/>
              </w:rPr>
              <w:t xml:space="preserve">A related candidate's proof changed; point score 0.390625 → 0.136727; rank 1 → 3.</w:t>
            </w:r>
          </w:p>
        </w:tc>
        <w:tc>
          <w:tcPr>
            <w:tcW w:w="3200" w:type="dxa"/>
            <w:shd w:val="clear" w:fill="F8FAFC"/>
            <w:tcMar>
              <w:top w:w="80" w:type="dxa"/>
              <w:left w:w="100" w:type="dxa"/>
              <w:bottom w:w="80" w:type="dxa"/>
              <w:right w:w="100" w:type="dxa"/>
            </w:tcMar>
          </w:tcPr>
          <w:p>
            <w:pPr>
              <w:pStyle w:val="TableText"/>
              <w:spacing w:after="70"/>
            </w:pPr>
            <w:r>
              <w:rPr>
                <w:color w:val="172033"/>
                <w:sz w:val="19"/>
                <w:szCs w:val="19"/>
              </w:rPr>
              <w:t xml:space="preserve">The configured online feedback policy changed the candidate's proof path and score, not only its visual position.</w:t>
            </w:r>
          </w:p>
        </w:tc>
      </w:tr>
      <w:tr>
        <w:tc>
          <w:tcPr>
            <w:tcW w:w="2200" w:type="dxa"/>
            <w:shd w:val="clear" w:fill="FFFFFF"/>
            <w:tcMar>
              <w:top w:w="80" w:type="dxa"/>
              <w:left w:w="100" w:type="dxa"/>
              <w:bottom w:w="80" w:type="dxa"/>
              <w:right w:w="100" w:type="dxa"/>
            </w:tcMar>
          </w:tcPr>
          <w:p>
            <w:pPr>
              <w:pStyle w:val="TableText"/>
              <w:spacing w:after="70"/>
            </w:pPr>
            <w:r>
              <w:rPr>
                <w:color w:val="172033"/>
                <w:sz w:val="19"/>
                <w:szCs w:val="19"/>
              </w:rPr>
              <w:t xml:space="preserve">MIND browser skip</w:t>
            </w:r>
          </w:p>
        </w:tc>
        <w:tc>
          <w:tcPr>
            <w:tcW w:w="3600" w:type="dxa"/>
            <w:shd w:val="clear" w:fill="FFFFFF"/>
            <w:tcMar>
              <w:top w:w="80" w:type="dxa"/>
              <w:left w:w="100" w:type="dxa"/>
              <w:bottom w:w="80" w:type="dxa"/>
              <w:right w:w="100" w:type="dxa"/>
            </w:tcMar>
          </w:tcPr>
          <w:p>
            <w:pPr>
              <w:pStyle w:val="TableText"/>
              <w:spacing w:after="70"/>
            </w:pPr>
            <w:r>
              <w:rPr>
                <w:color w:val="172033"/>
                <w:sz w:val="19"/>
                <w:szCs w:val="19"/>
              </w:rPr>
              <w:t xml:space="preserve">35 queued articles rescored; 26 positions changed; one related candidate's score 0.769231 → 0.661765.</w:t>
            </w:r>
          </w:p>
        </w:tc>
        <w:tc>
          <w:tcPr>
            <w:tcW w:w="3200" w:type="dxa"/>
            <w:shd w:val="clear" w:fill="FFFFFF"/>
            <w:tcMar>
              <w:top w:w="80" w:type="dxa"/>
              <w:left w:w="100" w:type="dxa"/>
              <w:bottom w:w="80" w:type="dxa"/>
              <w:right w:w="100" w:type="dxa"/>
            </w:tcMar>
          </w:tcPr>
          <w:p>
            <w:pPr>
              <w:pStyle w:val="TableText"/>
              <w:spacing w:after="70"/>
            </w:pPr>
            <w:r>
              <w:rPr>
                <w:color w:val="172033"/>
                <w:sz w:val="19"/>
                <w:szCs w:val="19"/>
              </w:rPr>
              <w:t xml:space="preserve">Private feedback changed grounded PeTTa evidence under the online feedback policy.</w:t>
            </w:r>
          </w:p>
        </w:tc>
      </w:tr>
      <w:tr>
        <w:tc>
          <w:tcPr>
            <w:tcW w:w="2200" w:type="dxa"/>
            <w:shd w:val="clear" w:fill="F8FAFC"/>
            <w:tcMar>
              <w:top w:w="80" w:type="dxa"/>
              <w:left w:w="100" w:type="dxa"/>
              <w:bottom w:w="80" w:type="dxa"/>
              <w:right w:w="100" w:type="dxa"/>
            </w:tcMar>
          </w:tcPr>
          <w:p>
            <w:pPr>
              <w:pStyle w:val="TableText"/>
              <w:spacing w:after="70"/>
            </w:pPr>
            <w:r>
              <w:rPr>
                <w:color w:val="172033"/>
                <w:sz w:val="19"/>
                <w:szCs w:val="19"/>
              </w:rPr>
              <w:t xml:space="preserve">Feedback latency sample</w:t>
            </w:r>
          </w:p>
        </w:tc>
        <w:tc>
          <w:tcPr>
            <w:tcW w:w="3600" w:type="dxa"/>
            <w:shd w:val="clear" w:fill="F8FAFC"/>
            <w:tcMar>
              <w:top w:w="80" w:type="dxa"/>
              <w:left w:w="100" w:type="dxa"/>
              <w:bottom w:w="80" w:type="dxa"/>
              <w:right w:w="100" w:type="dxa"/>
            </w:tcMar>
          </w:tcPr>
          <w:p>
            <w:pPr>
              <w:pStyle w:val="TableText"/>
              <w:spacing w:after="70"/>
            </w:pPr>
            <w:r>
              <w:rPr>
                <w:color w:val="172033"/>
                <w:sz w:val="19"/>
                <w:szCs w:val="19"/>
              </w:rPr>
              <w:t xml:space="preserve">p50 ≈1.021 s; p95 ≈1.470 s across six sequential local HTTP events.</w:t>
            </w:r>
          </w:p>
        </w:tc>
        <w:tc>
          <w:tcPr>
            <w:tcW w:w="3200" w:type="dxa"/>
            <w:shd w:val="clear" w:fill="F8FAFC"/>
            <w:tcMar>
              <w:top w:w="80" w:type="dxa"/>
              <w:left w:w="100" w:type="dxa"/>
              <w:bottom w:w="80" w:type="dxa"/>
              <w:right w:w="100" w:type="dxa"/>
            </w:tcMar>
          </w:tcPr>
          <w:p>
            <w:pPr>
              <w:pStyle w:val="TableText"/>
              <w:spacing w:after="70"/>
            </w:pPr>
            <w:r>
              <w:rPr>
                <w:color w:val="172033"/>
                <w:sz w:val="19"/>
                <w:szCs w:val="19"/>
              </w:rPr>
              <w:t xml:space="preserve">Small one-machine functional sample; not a concurrency result or production SLA.</w:t>
            </w:r>
          </w:p>
        </w:tc>
      </w:tr>
      <w:tr>
        <w:tc>
          <w:tcPr>
            <w:tcW w:w="2200" w:type="dxa"/>
            <w:shd w:val="clear" w:fill="FFFFFF"/>
            <w:tcMar>
              <w:top w:w="80" w:type="dxa"/>
              <w:left w:w="100" w:type="dxa"/>
              <w:bottom w:w="80" w:type="dxa"/>
              <w:right w:w="100" w:type="dxa"/>
            </w:tcMar>
          </w:tcPr>
          <w:p>
            <w:pPr>
              <w:pStyle w:val="TableText"/>
              <w:spacing w:after="70"/>
            </w:pPr>
            <w:r>
              <w:rPr>
                <w:color w:val="172033"/>
                <w:sz w:val="19"/>
                <w:szCs w:val="19"/>
              </w:rPr>
              <w:t xml:space="preserve">Append delta</w:t>
            </w:r>
          </w:p>
        </w:tc>
        <w:tc>
          <w:tcPr>
            <w:tcW w:w="3600" w:type="dxa"/>
            <w:shd w:val="clear" w:fill="FFFFFF"/>
            <w:tcMar>
              <w:top w:w="80" w:type="dxa"/>
              <w:left w:w="100" w:type="dxa"/>
              <w:bottom w:w="80" w:type="dxa"/>
              <w:right w:w="100" w:type="dxa"/>
            </w:tcMar>
          </w:tcPr>
          <w:p>
            <w:pPr>
              <w:pStyle w:val="TableText"/>
              <w:spacing w:after="70"/>
            </w:pPr>
            <w:r>
              <w:rPr>
                <w:color w:val="172033"/>
                <w:sz w:val="19"/>
                <w:szCs w:val="19"/>
              </w:rPr>
              <w:t xml:space="preserve">Two new point cases; two real delta fpMiner calls; zero full fpMiner calls; pair plan reused.</w:t>
            </w:r>
          </w:p>
        </w:tc>
        <w:tc>
          <w:tcPr>
            <w:tcW w:w="3200" w:type="dxa"/>
            <w:shd w:val="clear" w:fill="FFFFFF"/>
            <w:tcMar>
              <w:top w:w="80" w:type="dxa"/>
              <w:left w:w="100" w:type="dxa"/>
              <w:bottom w:w="80" w:type="dxa"/>
              <w:right w:w="100" w:type="dxa"/>
            </w:tcMar>
          </w:tcPr>
          <w:p>
            <w:pPr>
              <w:pStyle w:val="TableText"/>
              <w:spacing w:after="70"/>
            </w:pPr>
            <w:r>
              <w:rPr>
                <w:color w:val="172033"/>
                <w:sz w:val="19"/>
                <w:szCs w:val="19"/>
              </w:rPr>
              <w:t xml:space="preserve">Fixed-plan support discovery is genuinely append-incremental.</w:t>
            </w:r>
          </w:p>
        </w:tc>
      </w:tr>
      <w:tr>
        <w:tc>
          <w:tcPr>
            <w:tcW w:w="2200" w:type="dxa"/>
            <w:shd w:val="clear" w:fill="F8FAFC"/>
            <w:tcMar>
              <w:top w:w="80" w:type="dxa"/>
              <w:left w:w="100" w:type="dxa"/>
              <w:bottom w:w="80" w:type="dxa"/>
              <w:right w:w="100" w:type="dxa"/>
            </w:tcMar>
          </w:tcPr>
          <w:p>
            <w:pPr>
              <w:pStyle w:val="TableText"/>
              <w:spacing w:after="70"/>
            </w:pPr>
            <w:r>
              <w:rPr>
                <w:color w:val="172033"/>
                <w:sz w:val="19"/>
                <w:szCs w:val="19"/>
              </w:rPr>
              <w:t xml:space="preserve">Background build</w:t>
            </w:r>
          </w:p>
        </w:tc>
        <w:tc>
          <w:tcPr>
            <w:tcW w:w="3600" w:type="dxa"/>
            <w:shd w:val="clear" w:fill="F8FAFC"/>
            <w:tcMar>
              <w:top w:w="80" w:type="dxa"/>
              <w:left w:w="100" w:type="dxa"/>
              <w:bottom w:w="80" w:type="dxa"/>
              <w:right w:w="100" w:type="dxa"/>
            </w:tcMar>
          </w:tcPr>
          <w:p>
            <w:pPr>
              <w:pStyle w:val="TableText"/>
              <w:spacing w:after="70"/>
            </w:pPr>
            <w:r>
              <w:rPr>
                <w:color w:val="172033"/>
                <w:sz w:val="19"/>
                <w:szCs w:val="19"/>
              </w:rPr>
              <w:t xml:space="preserve">111.138 s in the append proof; old model continued serving; model version advanced atomically.</w:t>
            </w:r>
          </w:p>
        </w:tc>
        <w:tc>
          <w:tcPr>
            <w:tcW w:w="3200" w:type="dxa"/>
            <w:shd w:val="clear" w:fill="F8FAFC"/>
            <w:tcMar>
              <w:top w:w="80" w:type="dxa"/>
              <w:left w:w="100" w:type="dxa"/>
              <w:bottom w:w="80" w:type="dxa"/>
              <w:right w:w="100" w:type="dxa"/>
            </w:tcMar>
          </w:tcPr>
          <w:p>
            <w:pPr>
              <w:pStyle w:val="TableText"/>
              <w:spacing w:after="70"/>
            </w:pPr>
            <w:r>
              <w:rPr>
                <w:color w:val="172033"/>
                <w:sz w:val="19"/>
                <w:szCs w:val="19"/>
              </w:rPr>
              <w:t xml:space="preserve">Feature reconstruction, full-population recount/CTV estimation and worker startup remain bottlenecks.</w:t>
            </w:r>
          </w:p>
        </w:tc>
      </w:tr>
      <w:tr>
        <w:tc>
          <w:tcPr>
            <w:tcW w:w="2200" w:type="dxa"/>
            <w:shd w:val="clear" w:fill="FFFFFF"/>
            <w:tcMar>
              <w:top w:w="80" w:type="dxa"/>
              <w:left w:w="100" w:type="dxa"/>
              <w:bottom w:w="80" w:type="dxa"/>
              <w:right w:w="100" w:type="dxa"/>
            </w:tcMar>
          </w:tcPr>
          <w:p>
            <w:pPr>
              <w:pStyle w:val="TableText"/>
              <w:spacing w:after="70"/>
            </w:pPr>
            <w:r>
              <w:rPr>
                <w:color w:val="172033"/>
                <w:sz w:val="19"/>
                <w:szCs w:val="19"/>
              </w:rPr>
              <w:t xml:space="preserve">Resource peak</w:t>
            </w:r>
          </w:p>
        </w:tc>
        <w:tc>
          <w:tcPr>
            <w:tcW w:w="3600" w:type="dxa"/>
            <w:shd w:val="clear" w:fill="FFFFFF"/>
            <w:tcMar>
              <w:top w:w="80" w:type="dxa"/>
              <w:left w:w="100" w:type="dxa"/>
              <w:bottom w:w="80" w:type="dxa"/>
              <w:right w:w="100" w:type="dxa"/>
            </w:tcMar>
          </w:tcPr>
          <w:p>
            <w:pPr>
              <w:pStyle w:val="TableText"/>
              <w:spacing w:after="70"/>
            </w:pPr>
            <w:r>
              <w:rPr>
                <w:color w:val="172033"/>
                <w:sz w:val="19"/>
                <w:szCs w:val="19"/>
              </w:rPr>
              <w:t xml:space="preserve">≈2.188 GiB process-tree RSS in the append proof.</w:t>
            </w:r>
          </w:p>
        </w:tc>
        <w:tc>
          <w:tcPr>
            <w:tcW w:w="3200" w:type="dxa"/>
            <w:shd w:val="clear" w:fill="FFFFFF"/>
            <w:tcMar>
              <w:top w:w="80" w:type="dxa"/>
              <w:left w:w="100" w:type="dxa"/>
              <w:bottom w:w="80" w:type="dxa"/>
              <w:right w:w="100" w:type="dxa"/>
            </w:tcMar>
          </w:tcPr>
          <w:p>
            <w:pPr>
              <w:pStyle w:val="TableText"/>
              <w:spacing w:after="70"/>
            </w:pPr>
            <w:r>
              <w:rPr>
                <w:color w:val="172033"/>
                <w:sz w:val="19"/>
                <w:szCs w:val="19"/>
              </w:rPr>
              <w:t xml:space="preserve">Requires a dedicated scorer/miner allocation rather than a 1 GiB API task.</w:t>
            </w:r>
          </w:p>
        </w:tc>
      </w:tr>
    </w:tbl>
    <w:p>
      <w:pPr>
        <w:spacing w:after="100"/>
      </w:pPr>
    </w:p>
    <w:p>
      <w:pPr>
        <w:pStyle w:val="Normal"/>
      </w:pPr>
      <w:r>
        <w:t xml:space="preserve">The latency sample excludes production candidate retrieval, fresh-article ingestion, cross-service network overhead, concurrent-user load and corpus-scale ranking. Retrieval recall was not measured, and the reranker cannot recover a relevant article omitted from its admitted window. Scorer RPCs now have finite parent-process deadlines (separate serving and benchmark settings), but no throughput, tail latency under load, SLA or capacity conclusion follows from six sequential events. Pair work is quadratic in the admitted window when every opponent is used.</w:t>
      </w:r>
    </w:p>
    <w:p>
      <w:pPr>
        <w:pStyle w:val="Normal"/>
      </w:pPr>
      <w:r>
        <w:t xml:space="preserve">The browser tests establish mechanistic responsiveness: an action changes private facts, PeTTa proofs and the remaining queue. They do not establish that the change improves later engagement. Immediate skip propagation uses bounded, fixed PeTTa policy rules for exact-article, subcategory and topic evidence; those rules are not miner discoveries. The accepted interaction also enters a later mining snapshot.</w:t>
      </w:r>
    </w:p>
    <w:p>
      <w:pPr>
        <w:pStyle w:val="Normal"/>
      </w:pPr>
      <w:r>
        <w:t xml:space="preserve">The append result applies specifically to fixed-plan fpMiner support discovery. The complete staged build still reconstructs features and populations, re-estimates CTVs, compiles rules and starts a worker. Bounded whole-impression expiration is implemented by an exact complete retained-space rebuild, not an incremental subtraction. The measurement does not establish an end-to-end incremental model or a separate time-decay/rule-aging policy.</w:t>
      </w:r>
    </w:p>
    <w:p>
      <w:pPr>
        <w:pStyle w:val="Heading2"/>
        <w:keepNext/>
      </w:pPr>
      <w:r>
        <w:t xml:space="preserve">6.1 Live feedback sequence</w:t>
      </w:r>
    </w:p>
    <w:p>
      <w:pPr>
        <w:pStyle w:val="Code"/>
        <w:ind w:left="360" w:right="180"/>
        <w:spacing w:before="80" w:after="0"/>
        <w:shd w:val="clear" w:color="auto" w:fill="F1F5F9"/>
      </w:pPr>
      <w:r>
        <w:rPr>
          <w:sz w:val="18"/>
          <w:szCs w:val="18"/>
          <w:rFonts w:ascii="DejaVu Sans Mono" w:hAnsi="DejaVu Sans Mono"/>
        </w:rPr>
        <w:t xml:space="preserve">interaction accepted</w:t>
      </w:r>
    </w:p>
    <w:p>
      <w:pPr>
        <w:pStyle w:val="Code"/>
        <w:ind w:left="360" w:right="180"/>
        <w:spacing w:before="0" w:after="0"/>
        <w:shd w:val="clear" w:color="auto" w:fill="F1F5F9"/>
      </w:pPr>
      <w:r>
        <w:rPr>
          <w:sz w:val="18"/>
          <w:szCs w:val="18"/>
          <w:rFonts w:ascii="DejaVu Sans Mono" w:hAnsi="DejaVu Sans Mono"/>
        </w:rPr>
        <w:t xml:space="preserve">    -&gt; private user facts updated</w:t>
      </w:r>
    </w:p>
    <w:p>
      <w:pPr>
        <w:pStyle w:val="Code"/>
        <w:ind w:left="360" w:right="180"/>
        <w:spacing w:before="0" w:after="0"/>
        <w:shd w:val="clear" w:color="auto" w:fill="F1F5F9"/>
      </w:pPr>
      <w:r>
        <w:rPr>
          <w:sz w:val="18"/>
          <w:szCs w:val="18"/>
          <w:rFonts w:ascii="DejaVu Sans Mono" w:hAnsi="DejaVu Sans Mono"/>
        </w:rPr>
        <w:t xml:space="preserve">    -&gt; remaining queue facts regenerated</w:t>
      </w:r>
    </w:p>
    <w:p>
      <w:pPr>
        <w:pStyle w:val="Code"/>
        <w:ind w:left="360" w:right="180"/>
        <w:spacing w:before="0" w:after="0"/>
        <w:shd w:val="clear" w:color="auto" w:fill="F1F5F9"/>
      </w:pPr>
      <w:r>
        <w:rPr>
          <w:sz w:val="18"/>
          <w:szCs w:val="18"/>
          <w:rFonts w:ascii="DejaVu Sans Mono" w:hAnsi="DejaVu Sans Mono"/>
        </w:rPr>
        <w:t xml:space="preserve">    -&gt; PeTTaChainer proofs recomputed</w:t>
      </w:r>
    </w:p>
    <w:p>
      <w:pPr>
        <w:pStyle w:val="Code"/>
        <w:ind w:left="360" w:right="180"/>
        <w:spacing w:before="0" w:after="0"/>
        <w:shd w:val="clear" w:color="auto" w:fill="F1F5F9"/>
      </w:pPr>
      <w:r>
        <w:rPr>
          <w:sz w:val="18"/>
          <w:szCs w:val="18"/>
          <w:rFonts w:ascii="DejaVu Sans Mono" w:hAnsi="DejaVu Sans Mono"/>
        </w:rPr>
        <w:t xml:space="preserve">    -&gt; revised proof-ranked queue returned</w:t>
      </w:r>
    </w:p>
    <w:p>
      <w:pPr>
        <w:pStyle w:val="Code"/>
        <w:ind w:left="360" w:right="180"/>
        <w:spacing w:before="0" w:after="80"/>
        <w:shd w:val="clear" w:color="auto" w:fill="F1F5F9"/>
      </w:pPr>
      <w:r>
        <w:rPr>
          <w:sz w:val="18"/>
          <w:szCs w:val="18"/>
          <w:rFonts w:ascii="DejaVu Sans Mono" w:hAnsi="DejaVu Sans Mono"/>
        </w:rPr>
        <w:t xml:space="preserve">    -&gt; background delta build scheduled at the configured threshold</w:t>
      </w:r>
    </w:p>
    <w:p>
      <w:pPr>
        <w:pStyle w:val="Normal"/>
      </w:pPr>
      <w:r>
        <w:t xml:space="preserve">The interaction request does not wait for global fpMiner work. The active scorer applies private facts immediately. Global learning runs in a staged background build, while the previous rule version continues to answer requests. A complete new worker is promoted atomically after mining, full-retained-training recount/CTV estimation and compilation finish.</w:t>
      </w:r>
    </w:p>
    <w:p>
      <w:pPr>
        <w:pStyle w:val="Heading1"/>
        <w:keepNext/>
      </w:pPr>
      <w:r>
        <w:t xml:space="preserve">7. Reproducibility record</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600"/>
        <w:gridCol w:w="6400"/>
      </w:tblGrid>
      <w:tr>
        <w:trPr>
          <w:tblHeader/>
        </w:trPr>
        <w:tc>
          <w:tcPr>
            <w:tcW w:w="2600" w:type="dxa"/>
            <w:shd w:val="clear" w:fill="0F766E"/>
            <w:tcMar>
              <w:top w:w="80" w:type="dxa"/>
              <w:left w:w="100" w:type="dxa"/>
              <w:bottom w:w="80" w:type="dxa"/>
              <w:right w:w="100" w:type="dxa"/>
            </w:tcMar>
          </w:tcPr>
          <w:p>
            <w:pPr>
              <w:pStyle w:val="TableText"/>
              <w:spacing w:after="70"/>
            </w:pPr>
            <w:r>
              <w:rPr>
                <w:b/>
                <w:color w:val="FFFFFF"/>
                <w:sz w:val="19"/>
                <w:szCs w:val="19"/>
              </w:rPr>
              <w:t xml:space="preserve">Item</w:t>
            </w:r>
          </w:p>
        </w:tc>
        <w:tc>
          <w:tcPr>
            <w:tcW w:w="6400" w:type="dxa"/>
            <w:shd w:val="clear" w:fill="0F766E"/>
            <w:tcMar>
              <w:top w:w="80" w:type="dxa"/>
              <w:left w:w="100" w:type="dxa"/>
              <w:bottom w:w="80" w:type="dxa"/>
              <w:right w:w="100" w:type="dxa"/>
            </w:tcMar>
          </w:tcPr>
          <w:p>
            <w:pPr>
              <w:pStyle w:val="TableText"/>
              <w:spacing w:after="70"/>
            </w:pPr>
            <w:r>
              <w:rPr>
                <w:b/>
                <w:color w:val="FFFFFF"/>
                <w:sz w:val="19"/>
                <w:szCs w:val="19"/>
              </w:rPr>
              <w:t xml:space="preserve">Recorded value</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Dataset identity</w:t>
            </w:r>
          </w:p>
        </w:tc>
        <w:tc>
          <w:tcPr>
            <w:tcW w:w="6400" w:type="dxa"/>
            <w:shd w:val="clear" w:fill="FFFFFF"/>
            <w:tcMar>
              <w:top w:w="80" w:type="dxa"/>
              <w:left w:w="100" w:type="dxa"/>
              <w:bottom w:w="80" w:type="dxa"/>
              <w:right w:w="100" w:type="dxa"/>
            </w:tcMar>
          </w:tcPr>
          <w:p>
            <w:pPr>
              <w:pStyle w:val="TableText"/>
              <w:spacing w:after="70"/>
            </w:pPr>
            <w:r>
              <w:rPr>
                <w:color w:val="172033"/>
                <w:sz w:val="19"/>
                <w:szCs w:val="19"/>
              </w:rPr>
              <w:t xml:space="preserve">MIND-small RecZoo projection; deterministic source and prepared-snapshot hashes recorded in the run artifact.</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Sampling identity</w:t>
            </w:r>
          </w:p>
        </w:tc>
        <w:tc>
          <w:tcPr>
            <w:tcW w:w="6400" w:type="dxa"/>
            <w:shd w:val="clear" w:fill="F8FAFC"/>
            <w:tcMar>
              <w:top w:w="80" w:type="dxa"/>
              <w:left w:w="100" w:type="dxa"/>
              <w:bottom w:w="80" w:type="dxa"/>
              <w:right w:w="100" w:type="dxa"/>
            </w:tcMar>
          </w:tcPr>
          <w:p>
            <w:pPr>
              <w:pStyle w:val="TableText"/>
              <w:spacing w:after="70"/>
            </w:pPr>
            <w:r>
              <w:rPr>
                <w:color w:val="172033"/>
                <w:sz w:val="19"/>
                <w:szCs w:val="19"/>
              </w:rPr>
              <w:t xml:space="preserve">Seed 7; seeded hash-priority whole-impression selection.</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Evaluation identity</w:t>
            </w:r>
          </w:p>
        </w:tc>
        <w:tc>
          <w:tcPr>
            <w:tcW w:w="6400" w:type="dxa"/>
            <w:shd w:val="clear" w:fill="FFFFFF"/>
            <w:tcMar>
              <w:top w:w="80" w:type="dxa"/>
              <w:left w:w="100" w:type="dxa"/>
              <w:bottom w:w="80" w:type="dxa"/>
              <w:right w:w="100" w:type="dxa"/>
            </w:tcMar>
          </w:tcPr>
          <w:p>
            <w:pPr>
              <w:pStyle w:val="TableText"/>
              <w:spacing w:after="70"/>
            </w:pPr>
            <w:r>
              <w:rPr>
                <w:color w:val="172033"/>
                <w:sz w:val="19"/>
                <w:szCs w:val="19"/>
              </w:rPr>
              <w:t xml:space="preserve">500 complete impressions; 18,139 candidates; per-impression scores retained.</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Semantic evidence</w:t>
            </w:r>
          </w:p>
        </w:tc>
        <w:tc>
          <w:tcPr>
            <w:tcW w:w="6400" w:type="dxa"/>
            <w:shd w:val="clear" w:fill="F8FAFC"/>
            <w:tcMar>
              <w:top w:w="80" w:type="dxa"/>
              <w:left w:w="100" w:type="dxa"/>
              <w:bottom w:w="80" w:type="dxa"/>
              <w:right w:w="100" w:type="dxa"/>
            </w:tcMar>
          </w:tcPr>
          <w:p>
            <w:pPr>
              <w:pStyle w:val="TableText"/>
              <w:spacing w:after="70"/>
            </w:pPr>
            <w:r>
              <w:rPr>
                <w:color w:val="172033"/>
                <w:sz w:val="19"/>
                <w:szCs w:val="19"/>
              </w:rPr>
              <w:t xml:space="preserve">Pinned article-description snapshot and pinned 384-dimensional title-and-abstract embedding snapshot.</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Miner evidence</w:t>
            </w:r>
          </w:p>
        </w:tc>
        <w:tc>
          <w:tcPr>
            <w:tcW w:w="6400" w:type="dxa"/>
            <w:shd w:val="clear" w:fill="FFFFFF"/>
            <w:tcMar>
              <w:top w:w="80" w:type="dxa"/>
              <w:left w:w="100" w:type="dxa"/>
              <w:bottom w:w="80" w:type="dxa"/>
              <w:right w:w="100" w:type="dxa"/>
            </w:tcMar>
          </w:tcPr>
          <w:p>
            <w:pPr>
              <w:pStyle w:val="TableText"/>
              <w:spacing w:after="70"/>
            </w:pPr>
            <w:r>
              <w:rPr>
                <w:color w:val="172033"/>
                <w:sz w:val="19"/>
                <w:szCs w:val="19"/>
              </w:rPr>
              <w:t xml:space="preserve">Actual fpMiner source recorded for discovered rules; support and target counts retained.</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Reasoner evidence</w:t>
            </w:r>
          </w:p>
        </w:tc>
        <w:tc>
          <w:tcPr>
            <w:tcW w:w="6400" w:type="dxa"/>
            <w:shd w:val="clear" w:fill="F8FAFC"/>
            <w:tcMar>
              <w:top w:w="80" w:type="dxa"/>
              <w:left w:w="100" w:type="dxa"/>
              <w:bottom w:w="80" w:type="dxa"/>
              <w:right w:w="100" w:type="dxa"/>
            </w:tcMar>
          </w:tcPr>
          <w:p>
            <w:pPr>
              <w:pStyle w:val="TableText"/>
              <w:spacing w:after="70"/>
            </w:pPr>
            <w:r>
              <w:rPr>
                <w:color w:val="172033"/>
                <w:sz w:val="19"/>
                <w:szCs w:val="19"/>
              </w:rPr>
              <w:t xml:space="preserve">Compiled rule channels, grounded fact signatures, proof roots, proof coverage and rule identifiers retained.</w:t>
            </w:r>
          </w:p>
        </w:tc>
      </w:tr>
      <w:tr>
        <w:tc>
          <w:tcPr>
            <w:tcW w:w="2600" w:type="dxa"/>
            <w:shd w:val="clear" w:fill="FFFFFF"/>
            <w:tcMar>
              <w:top w:w="80" w:type="dxa"/>
              <w:left w:w="100" w:type="dxa"/>
              <w:bottom w:w="80" w:type="dxa"/>
              <w:right w:w="100" w:type="dxa"/>
            </w:tcMar>
          </w:tcPr>
          <w:p>
            <w:pPr>
              <w:pStyle w:val="TableText"/>
              <w:spacing w:after="70"/>
            </w:pPr>
            <w:r>
              <w:rPr>
                <w:color w:val="172033"/>
                <w:sz w:val="19"/>
                <w:szCs w:val="19"/>
              </w:rPr>
              <w:t xml:space="preserve">Configuration</w:t>
            </w:r>
          </w:p>
        </w:tc>
        <w:tc>
          <w:tcPr>
            <w:tcW w:w="6400" w:type="dxa"/>
            <w:shd w:val="clear" w:fill="FFFFFF"/>
            <w:tcMar>
              <w:top w:w="80" w:type="dxa"/>
              <w:left w:w="100" w:type="dxa"/>
              <w:bottom w:w="80" w:type="dxa"/>
              <w:right w:w="100" w:type="dxa"/>
            </w:tcMar>
          </w:tcPr>
          <w:p>
            <w:pPr>
              <w:pStyle w:val="TableText"/>
              <w:spacing w:after="70"/>
            </w:pPr>
            <w:r>
              <w:rPr>
                <w:color w:val="172033"/>
                <w:sz w:val="19"/>
                <w:szCs w:val="19"/>
              </w:rPr>
              <w:t xml:space="preserve">All point, pair, truth-value, dependency, aggregation, seed and query settings serialized with the result.</w:t>
            </w:r>
          </w:p>
        </w:tc>
      </w:tr>
      <w:tr>
        <w:tc>
          <w:tcPr>
            <w:tcW w:w="2600" w:type="dxa"/>
            <w:shd w:val="clear" w:fill="F8FAFC"/>
            <w:tcMar>
              <w:top w:w="80" w:type="dxa"/>
              <w:left w:w="100" w:type="dxa"/>
              <w:bottom w:w="80" w:type="dxa"/>
              <w:right w:w="100" w:type="dxa"/>
            </w:tcMar>
          </w:tcPr>
          <w:p>
            <w:pPr>
              <w:pStyle w:val="TableText"/>
              <w:spacing w:after="70"/>
            </w:pPr>
            <w:r>
              <w:rPr>
                <w:color w:val="172033"/>
                <w:sz w:val="19"/>
                <w:szCs w:val="19"/>
              </w:rPr>
              <w:t xml:space="preserve">Environment</w:t>
            </w:r>
          </w:p>
        </w:tc>
        <w:tc>
          <w:tcPr>
            <w:tcW w:w="6400" w:type="dxa"/>
            <w:shd w:val="clear" w:fill="F8FAFC"/>
            <w:tcMar>
              <w:top w:w="80" w:type="dxa"/>
              <w:left w:w="100" w:type="dxa"/>
              <w:bottom w:w="80" w:type="dxa"/>
              <w:right w:w="100" w:type="dxa"/>
            </w:tcMar>
          </w:tcPr>
          <w:p>
            <w:pPr>
              <w:pStyle w:val="TableText"/>
              <w:spacing w:after="70"/>
            </w:pPr>
            <w:r>
              <w:rPr>
                <w:color w:val="172033"/>
                <w:sz w:val="19"/>
                <w:szCs w:val="19"/>
              </w:rPr>
              <w:t xml:space="preserve">Python and runtime metadata serialized; full experiment wall time recorded.</w:t>
            </w:r>
          </w:p>
        </w:tc>
      </w:tr>
    </w:tbl>
    <w:p>
      <w:pPr>
        <w:spacing w:after="100"/>
      </w:pPr>
    </w:p>
    <w:p>
      <w:pPr>
        <w:pStyle w:val="Normal"/>
      </w:pPr>
      <w:r>
        <w:t xml:space="preserve">A reproducing run must use the same complete impression set, preserve pre-outcome histories, load the same frozen transforms and semantic evidence, invoke the actual fpMiner and PeTTaChainer engines, and compare unrounded per-impression results rather than only rounded aggregate metrics.</w:t>
      </w:r>
    </w:p>
    <w:p>
      <w:pPr>
        <w:pStyle w:val="Heading1"/>
        <w:keepNext/>
      </w:pPr>
      <w:r>
        <w:t xml:space="preserve">8. SOTA reference context — protocols not matched</w:t>
      </w:r>
    </w:p>
    <w:p>
      <w:pPr>
        <w:pStyle w:val="Normal"/>
      </w:pPr>
      <w:r>
        <w:t xml:space="preserve">The table places the current symbolic result beside published reference values only to show the performance scale. This report evaluates a fixed 500-impression subset of MIND-small development data. The cited papers use their own complete evaluation, preprocessing and training protocols, while the official leaderboard uses the distinct full-MIND hidden test. These rows are not a matched head-to-head comparison.</w:t>
      </w:r>
    </w:p>
    <w:tbl>
      <w:tblPr>
        <w:tblW w:w="0" w:type="auto"/>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100"/>
        <w:gridCol w:w="3100"/>
        <w:gridCol w:w="950"/>
        <w:gridCol w:w="950"/>
        <w:gridCol w:w="950"/>
        <w:gridCol w:w="950"/>
      </w:tblGrid>
      <w:tr>
        <w:trPr>
          <w:tblHeader/>
        </w:trPr>
        <w:tc>
          <w:tcPr>
            <w:tcW w:w="2100" w:type="dxa"/>
            <w:shd w:val="clear" w:fill="0F766E"/>
            <w:tcMar>
              <w:top w:w="80" w:type="dxa"/>
              <w:left w:w="100" w:type="dxa"/>
              <w:bottom w:w="80" w:type="dxa"/>
              <w:right w:w="100" w:type="dxa"/>
            </w:tcMar>
          </w:tcPr>
          <w:p>
            <w:pPr>
              <w:pStyle w:val="TableText"/>
              <w:spacing w:after="25"/>
            </w:pPr>
            <w:r>
              <w:rPr>
                <w:b/>
                <w:color w:val="FFFFFF"/>
                <w:sz w:val="18"/>
                <w:szCs w:val="18"/>
              </w:rPr>
              <w:t xml:space="preserve">System</w:t>
            </w:r>
          </w:p>
        </w:tc>
        <w:tc>
          <w:tcPr>
            <w:tcW w:w="3100" w:type="dxa"/>
            <w:shd w:val="clear" w:fill="0F766E"/>
            <w:tcMar>
              <w:top w:w="80" w:type="dxa"/>
              <w:left w:w="100" w:type="dxa"/>
              <w:bottom w:w="80" w:type="dxa"/>
              <w:right w:w="100" w:type="dxa"/>
            </w:tcMar>
          </w:tcPr>
          <w:p>
            <w:pPr>
              <w:pStyle w:val="TableText"/>
              <w:spacing w:after="25"/>
            </w:pPr>
            <w:r>
              <w:rPr>
                <w:b/>
                <w:color w:val="FFFFFF"/>
                <w:sz w:val="18"/>
                <w:szCs w:val="18"/>
              </w:rPr>
              <w:t xml:space="preserve">Evaluation</w:t>
            </w:r>
          </w:p>
        </w:tc>
        <w:tc>
          <w:tcPr>
            <w:tcW w:w="950" w:type="dxa"/>
            <w:shd w:val="clear" w:fill="0F766E"/>
            <w:tcMar>
              <w:top w:w="80" w:type="dxa"/>
              <w:left w:w="100" w:type="dxa"/>
              <w:bottom w:w="80" w:type="dxa"/>
              <w:right w:w="100" w:type="dxa"/>
            </w:tcMar>
          </w:tcPr>
          <w:p>
            <w:pPr>
              <w:pStyle w:val="TableText"/>
              <w:spacing w:after="25"/>
            </w:pPr>
            <w:r>
              <w:rPr>
                <w:b/>
                <w:color w:val="FFFFFF"/>
                <w:sz w:val="18"/>
                <w:szCs w:val="18"/>
              </w:rPr>
              <w:t xml:space="preserve">AUC</w:t>
            </w:r>
          </w:p>
        </w:tc>
        <w:tc>
          <w:tcPr>
            <w:tcW w:w="950" w:type="dxa"/>
            <w:shd w:val="clear" w:fill="0F766E"/>
            <w:tcMar>
              <w:top w:w="80" w:type="dxa"/>
              <w:left w:w="100" w:type="dxa"/>
              <w:bottom w:w="80" w:type="dxa"/>
              <w:right w:w="100" w:type="dxa"/>
            </w:tcMar>
          </w:tcPr>
          <w:p>
            <w:pPr>
              <w:pStyle w:val="TableText"/>
              <w:spacing w:after="25"/>
            </w:pPr>
            <w:r>
              <w:rPr>
                <w:b/>
                <w:color w:val="FFFFFF"/>
                <w:sz w:val="18"/>
                <w:szCs w:val="18"/>
              </w:rPr>
              <w:t xml:space="preserve">MRR</w:t>
            </w:r>
          </w:p>
        </w:tc>
        <w:tc>
          <w:tcPr>
            <w:tcW w:w="950" w:type="dxa"/>
            <w:shd w:val="clear" w:fill="0F766E"/>
            <w:tcMar>
              <w:top w:w="80" w:type="dxa"/>
              <w:left w:w="100" w:type="dxa"/>
              <w:bottom w:w="80" w:type="dxa"/>
              <w:right w:w="100" w:type="dxa"/>
            </w:tcMar>
          </w:tcPr>
          <w:p>
            <w:pPr>
              <w:pStyle w:val="TableText"/>
              <w:spacing w:after="25"/>
            </w:pPr>
            <w:r>
              <w:rPr>
                <w:b/>
                <w:color w:val="FFFFFF"/>
                <w:sz w:val="18"/>
                <w:szCs w:val="18"/>
              </w:rPr>
              <w:t xml:space="preserve">nDCG@5</w:t>
            </w:r>
          </w:p>
        </w:tc>
        <w:tc>
          <w:tcPr>
            <w:tcW w:w="950" w:type="dxa"/>
            <w:shd w:val="clear" w:fill="0F766E"/>
            <w:tcMar>
              <w:top w:w="80" w:type="dxa"/>
              <w:left w:w="100" w:type="dxa"/>
              <w:bottom w:w="80" w:type="dxa"/>
              <w:right w:w="100" w:type="dxa"/>
            </w:tcMar>
          </w:tcPr>
          <w:p>
            <w:pPr>
              <w:pStyle w:val="TableText"/>
              <w:spacing w:after="25"/>
            </w:pPr>
            <w:r>
              <w:rPr>
                <w:b/>
                <w:color w:val="FFFFFF"/>
                <w:sz w:val="18"/>
                <w:szCs w:val="18"/>
              </w:rPr>
              <w:t xml:space="preserve">nDCG@10</w:t>
            </w:r>
          </w:p>
        </w:tc>
      </w:tr>
      <w:tr>
        <w:tc>
          <w:tcPr>
            <w:tcW w:w="2100" w:type="dxa"/>
            <w:shd w:val="clear" w:fill="FFFFFF"/>
            <w:tcMar>
              <w:top w:w="80" w:type="dxa"/>
              <w:left w:w="100" w:type="dxa"/>
              <w:bottom w:w="80" w:type="dxa"/>
              <w:right w:w="100" w:type="dxa"/>
            </w:tcMar>
          </w:tcPr>
          <w:p>
            <w:pPr>
              <w:pStyle w:val="TableText"/>
              <w:spacing w:after="25"/>
            </w:pPr>
            <w:r>
              <w:rPr>
                <w:color w:val="172033"/>
                <w:sz w:val="18"/>
                <w:szCs w:val="18"/>
              </w:rPr>
              <w:t xml:space="preserve">Current symbolic ProofRank</w:t>
            </w:r>
          </w:p>
        </w:tc>
        <w:tc>
          <w:tcPr>
            <w:tcW w:w="3100" w:type="dxa"/>
            <w:shd w:val="clear" w:fill="FFFFFF"/>
            <w:tcMar>
              <w:top w:w="80" w:type="dxa"/>
              <w:left w:w="100" w:type="dxa"/>
              <w:bottom w:w="80" w:type="dxa"/>
              <w:right w:w="100" w:type="dxa"/>
            </w:tcMar>
          </w:tcPr>
          <w:p>
            <w:pPr>
              <w:pStyle w:val="TableText"/>
              <w:spacing w:after="25"/>
            </w:pPr>
            <w:r>
              <w:rPr>
                <w:color w:val="172033"/>
                <w:sz w:val="18"/>
                <w:szCs w:val="18"/>
              </w:rPr>
              <w:t xml:space="preserve">This report: fixed 500-impression MIND-small development replay</w:t>
            </w:r>
          </w:p>
        </w:tc>
        <w:tc>
          <w:tcPr>
            <w:tcW w:w="950" w:type="dxa"/>
            <w:shd w:val="clear" w:fill="FFFFFF"/>
            <w:tcMar>
              <w:top w:w="80" w:type="dxa"/>
              <w:left w:w="100" w:type="dxa"/>
              <w:bottom w:w="80" w:type="dxa"/>
              <w:right w:w="100" w:type="dxa"/>
            </w:tcMar>
          </w:tcPr>
          <w:p>
            <w:pPr>
              <w:pStyle w:val="TableText"/>
              <w:spacing w:after="25"/>
            </w:pPr>
            <w:r>
              <w:rPr>
                <w:color w:val="172033"/>
                <w:sz w:val="18"/>
                <w:szCs w:val="18"/>
              </w:rPr>
              <w:t xml:space="preserve">0.6891</w:t>
            </w:r>
          </w:p>
        </w:tc>
        <w:tc>
          <w:tcPr>
            <w:tcW w:w="950" w:type="dxa"/>
            <w:shd w:val="clear" w:fill="FFFFFF"/>
            <w:tcMar>
              <w:top w:w="80" w:type="dxa"/>
              <w:left w:w="100" w:type="dxa"/>
              <w:bottom w:w="80" w:type="dxa"/>
              <w:right w:w="100" w:type="dxa"/>
            </w:tcMar>
          </w:tcPr>
          <w:p>
            <w:pPr>
              <w:pStyle w:val="TableText"/>
              <w:spacing w:after="25"/>
            </w:pPr>
            <w:r>
              <w:rPr>
                <w:color w:val="172033"/>
                <w:sz w:val="18"/>
                <w:szCs w:val="18"/>
              </w:rPr>
              <w:t xml:space="preserve">0.3416</w:t>
            </w:r>
          </w:p>
        </w:tc>
        <w:tc>
          <w:tcPr>
            <w:tcW w:w="950" w:type="dxa"/>
            <w:shd w:val="clear" w:fill="FFFFFF"/>
            <w:tcMar>
              <w:top w:w="80" w:type="dxa"/>
              <w:left w:w="100" w:type="dxa"/>
              <w:bottom w:w="80" w:type="dxa"/>
              <w:right w:w="100" w:type="dxa"/>
            </w:tcMar>
          </w:tcPr>
          <w:p>
            <w:pPr>
              <w:pStyle w:val="TableText"/>
              <w:spacing w:after="25"/>
            </w:pPr>
            <w:r>
              <w:rPr>
                <w:color w:val="172033"/>
                <w:sz w:val="18"/>
                <w:szCs w:val="18"/>
              </w:rPr>
              <w:t xml:space="preserve">0.3799</w:t>
            </w:r>
          </w:p>
        </w:tc>
        <w:tc>
          <w:tcPr>
            <w:tcW w:w="950" w:type="dxa"/>
            <w:shd w:val="clear" w:fill="FFFFFF"/>
            <w:tcMar>
              <w:top w:w="80" w:type="dxa"/>
              <w:left w:w="100" w:type="dxa"/>
              <w:bottom w:w="80" w:type="dxa"/>
              <w:right w:w="100" w:type="dxa"/>
            </w:tcMar>
          </w:tcPr>
          <w:p>
            <w:pPr>
              <w:pStyle w:val="TableText"/>
              <w:spacing w:after="25"/>
            </w:pPr>
            <w:r>
              <w:rPr>
                <w:color w:val="172033"/>
                <w:sz w:val="18"/>
                <w:szCs w:val="18"/>
              </w:rPr>
              <w:t xml:space="preserve">0.4387</w:t>
            </w:r>
          </w:p>
        </w:tc>
      </w:tr>
      <w:tr>
        <w:tc>
          <w:tcPr>
            <w:tcW w:w="2100" w:type="dxa"/>
            <w:shd w:val="clear" w:fill="F8FAFC"/>
            <w:tcMar>
              <w:top w:w="80" w:type="dxa"/>
              <w:left w:w="100" w:type="dxa"/>
              <w:bottom w:w="80" w:type="dxa"/>
              <w:right w:w="100" w:type="dxa"/>
            </w:tcMar>
          </w:tcPr>
          <w:p>
            <w:pPr>
              <w:pStyle w:val="TableText"/>
              <w:spacing w:after="25"/>
            </w:pPr>
            <w:r>
              <w:rPr>
                <w:color w:val="172033"/>
                <w:sz w:val="18"/>
                <w:szCs w:val="18"/>
              </w:rPr>
              <w:t xml:space="preserve">IP2 (RecSys 2025)</w:t>
            </w:r>
          </w:p>
        </w:tc>
        <w:tc>
          <w:tcPr>
            <w:tcW w:w="3100" w:type="dxa"/>
            <w:shd w:val="clear" w:fill="F8FAFC"/>
            <w:tcMar>
              <w:top w:w="80" w:type="dxa"/>
              <w:left w:w="100" w:type="dxa"/>
              <w:bottom w:w="80" w:type="dxa"/>
              <w:right w:w="100" w:type="dxa"/>
            </w:tcMar>
          </w:tcPr>
          <w:p>
            <w:pPr>
              <w:pStyle w:val="TableText"/>
              <w:spacing w:after="25"/>
            </w:pPr>
            <w:r>
              <w:rPr>
                <w:color w:val="172033"/>
                <w:sz w:val="18"/>
                <w:szCs w:val="18"/>
              </w:rPr>
              <w:t xml:space="preserve">Author-reported MIND-small evaluation; five-run mean</w:t>
            </w:r>
          </w:p>
        </w:tc>
        <w:tc>
          <w:tcPr>
            <w:tcW w:w="950" w:type="dxa"/>
            <w:shd w:val="clear" w:fill="F8FAFC"/>
            <w:tcMar>
              <w:top w:w="80" w:type="dxa"/>
              <w:left w:w="100" w:type="dxa"/>
              <w:bottom w:w="80" w:type="dxa"/>
              <w:right w:w="100" w:type="dxa"/>
            </w:tcMar>
          </w:tcPr>
          <w:p>
            <w:pPr>
              <w:pStyle w:val="TableText"/>
              <w:spacing w:after="25"/>
            </w:pPr>
            <w:r>
              <w:rPr>
                <w:color w:val="172033"/>
                <w:sz w:val="18"/>
                <w:szCs w:val="18"/>
              </w:rPr>
              <w:t xml:space="preserve">0.6969</w:t>
            </w:r>
          </w:p>
        </w:tc>
        <w:tc>
          <w:tcPr>
            <w:tcW w:w="950" w:type="dxa"/>
            <w:shd w:val="clear" w:fill="F8FAFC"/>
            <w:tcMar>
              <w:top w:w="80" w:type="dxa"/>
              <w:left w:w="100" w:type="dxa"/>
              <w:bottom w:w="80" w:type="dxa"/>
              <w:right w:w="100" w:type="dxa"/>
            </w:tcMar>
          </w:tcPr>
          <w:p>
            <w:pPr>
              <w:pStyle w:val="TableText"/>
              <w:spacing w:after="25"/>
            </w:pPr>
            <w:r>
              <w:rPr>
                <w:color w:val="172033"/>
                <w:sz w:val="18"/>
                <w:szCs w:val="18"/>
              </w:rPr>
              <w:t xml:space="preserve">0.3451</w:t>
            </w:r>
          </w:p>
        </w:tc>
        <w:tc>
          <w:tcPr>
            <w:tcW w:w="950" w:type="dxa"/>
            <w:shd w:val="clear" w:fill="F8FAFC"/>
            <w:tcMar>
              <w:top w:w="80" w:type="dxa"/>
              <w:left w:w="100" w:type="dxa"/>
              <w:bottom w:w="80" w:type="dxa"/>
              <w:right w:w="100" w:type="dxa"/>
            </w:tcMar>
          </w:tcPr>
          <w:p>
            <w:pPr>
              <w:pStyle w:val="TableText"/>
              <w:spacing w:after="25"/>
            </w:pPr>
            <w:r>
              <w:rPr>
                <w:color w:val="172033"/>
                <w:sz w:val="18"/>
                <w:szCs w:val="18"/>
              </w:rPr>
              <w:t xml:space="preserve">0.3830</w:t>
            </w:r>
          </w:p>
        </w:tc>
        <w:tc>
          <w:tcPr>
            <w:tcW w:w="950" w:type="dxa"/>
            <w:shd w:val="clear" w:fill="F8FAFC"/>
            <w:tcMar>
              <w:top w:w="80" w:type="dxa"/>
              <w:left w:w="100" w:type="dxa"/>
              <w:bottom w:w="80" w:type="dxa"/>
              <w:right w:w="100" w:type="dxa"/>
            </w:tcMar>
          </w:tcPr>
          <w:p>
            <w:pPr>
              <w:pStyle w:val="TableText"/>
              <w:spacing w:after="25"/>
            </w:pPr>
            <w:r>
              <w:rPr>
                <w:color w:val="172033"/>
                <w:sz w:val="18"/>
                <w:szCs w:val="18"/>
              </w:rPr>
              <w:t xml:space="preserve">0.4442</w:t>
            </w:r>
          </w:p>
        </w:tc>
      </w:tr>
      <w:tr>
        <w:tc>
          <w:tcPr>
            <w:tcW w:w="2100" w:type="dxa"/>
            <w:shd w:val="clear" w:fill="FFFFFF"/>
            <w:tcMar>
              <w:top w:w="80" w:type="dxa"/>
              <w:left w:w="100" w:type="dxa"/>
              <w:bottom w:w="80" w:type="dxa"/>
              <w:right w:w="100" w:type="dxa"/>
            </w:tcMar>
          </w:tcPr>
          <w:p>
            <w:pPr>
              <w:pStyle w:val="TableText"/>
              <w:spacing w:after="25"/>
            </w:pPr>
            <w:r>
              <w:rPr>
                <w:color w:val="172033"/>
                <w:sz w:val="18"/>
                <w:szCs w:val="18"/>
              </w:rPr>
              <w:t xml:space="preserve">PCRec (JCST 2025)</w:t>
            </w:r>
          </w:p>
        </w:tc>
        <w:tc>
          <w:tcPr>
            <w:tcW w:w="3100" w:type="dxa"/>
            <w:shd w:val="clear" w:fill="FFFFFF"/>
            <w:tcMar>
              <w:top w:w="80" w:type="dxa"/>
              <w:left w:w="100" w:type="dxa"/>
              <w:bottom w:w="80" w:type="dxa"/>
              <w:right w:w="100" w:type="dxa"/>
            </w:tcMar>
          </w:tcPr>
          <w:p>
            <w:pPr>
              <w:pStyle w:val="TableText"/>
              <w:spacing w:after="25"/>
            </w:pPr>
            <w:r>
              <w:rPr>
                <w:color w:val="172033"/>
                <w:sz w:val="18"/>
                <w:szCs w:val="18"/>
              </w:rPr>
              <w:t xml:space="preserve">Author-reported MIND-small evaluation</w:t>
            </w:r>
          </w:p>
        </w:tc>
        <w:tc>
          <w:tcPr>
            <w:tcW w:w="950" w:type="dxa"/>
            <w:shd w:val="clear" w:fill="FFFFFF"/>
            <w:tcMar>
              <w:top w:w="80" w:type="dxa"/>
              <w:left w:w="100" w:type="dxa"/>
              <w:bottom w:w="80" w:type="dxa"/>
              <w:right w:w="100" w:type="dxa"/>
            </w:tcMar>
          </w:tcPr>
          <w:p>
            <w:pPr>
              <w:pStyle w:val="TableText"/>
              <w:spacing w:after="25"/>
            </w:pPr>
            <w:r>
              <w:rPr>
                <w:color w:val="172033"/>
                <w:sz w:val="18"/>
                <w:szCs w:val="18"/>
              </w:rPr>
              <w:t xml:space="preserve">0.6984</w:t>
            </w:r>
          </w:p>
        </w:tc>
        <w:tc>
          <w:tcPr>
            <w:tcW w:w="950" w:type="dxa"/>
            <w:shd w:val="clear" w:fill="FFFFFF"/>
            <w:tcMar>
              <w:top w:w="80" w:type="dxa"/>
              <w:left w:w="100" w:type="dxa"/>
              <w:bottom w:w="80" w:type="dxa"/>
              <w:right w:w="100" w:type="dxa"/>
            </w:tcMar>
          </w:tcPr>
          <w:p>
            <w:pPr>
              <w:pStyle w:val="TableText"/>
              <w:spacing w:after="25"/>
            </w:pPr>
            <w:r>
              <w:rPr>
                <w:color w:val="172033"/>
                <w:sz w:val="18"/>
                <w:szCs w:val="18"/>
              </w:rPr>
              <w:t xml:space="preserve">0.3430</w:t>
            </w:r>
          </w:p>
        </w:tc>
        <w:tc>
          <w:tcPr>
            <w:tcW w:w="950" w:type="dxa"/>
            <w:shd w:val="clear" w:fill="FFFFFF"/>
            <w:tcMar>
              <w:top w:w="80" w:type="dxa"/>
              <w:left w:w="100" w:type="dxa"/>
              <w:bottom w:w="80" w:type="dxa"/>
              <w:right w:w="100" w:type="dxa"/>
            </w:tcMar>
          </w:tcPr>
          <w:p>
            <w:pPr>
              <w:pStyle w:val="TableText"/>
              <w:spacing w:after="25"/>
            </w:pPr>
            <w:r>
              <w:rPr>
                <w:color w:val="172033"/>
                <w:sz w:val="18"/>
                <w:szCs w:val="18"/>
              </w:rPr>
              <w:t xml:space="preserve">0.3810</w:t>
            </w:r>
          </w:p>
        </w:tc>
        <w:tc>
          <w:tcPr>
            <w:tcW w:w="950" w:type="dxa"/>
            <w:shd w:val="clear" w:fill="FFFFFF"/>
            <w:tcMar>
              <w:top w:w="80" w:type="dxa"/>
              <w:left w:w="100" w:type="dxa"/>
              <w:bottom w:w="80" w:type="dxa"/>
              <w:right w:w="100" w:type="dxa"/>
            </w:tcMar>
          </w:tcPr>
          <w:p>
            <w:pPr>
              <w:pStyle w:val="TableText"/>
              <w:spacing w:after="25"/>
            </w:pPr>
            <w:r>
              <w:rPr>
                <w:color w:val="172033"/>
                <w:sz w:val="18"/>
                <w:szCs w:val="18"/>
              </w:rPr>
              <w:t xml:space="preserve">0.4417</w:t>
            </w:r>
          </w:p>
        </w:tc>
      </w:tr>
      <w:tr>
        <w:tc>
          <w:tcPr>
            <w:tcW w:w="2100" w:type="dxa"/>
            <w:shd w:val="clear" w:fill="F8FAFC"/>
            <w:tcMar>
              <w:top w:w="80" w:type="dxa"/>
              <w:left w:w="100" w:type="dxa"/>
              <w:bottom w:w="80" w:type="dxa"/>
              <w:right w:w="100" w:type="dxa"/>
            </w:tcMar>
          </w:tcPr>
          <w:p>
            <w:pPr>
              <w:pStyle w:val="TableText"/>
              <w:spacing w:after="25"/>
            </w:pPr>
            <w:r>
              <w:rPr>
                <w:color w:val="172033"/>
                <w:sz w:val="18"/>
                <w:szCs w:val="18"/>
              </w:rPr>
              <w:t xml:space="preserve">Official MIND leaderboard leader</w:t>
            </w:r>
          </w:p>
        </w:tc>
        <w:tc>
          <w:tcPr>
            <w:tcW w:w="3100" w:type="dxa"/>
            <w:shd w:val="clear" w:fill="F8FAFC"/>
            <w:tcMar>
              <w:top w:w="80" w:type="dxa"/>
              <w:left w:w="100" w:type="dxa"/>
              <w:bottom w:w="80" w:type="dxa"/>
              <w:right w:w="100" w:type="dxa"/>
            </w:tcMar>
          </w:tcPr>
          <w:p>
            <w:pPr>
              <w:pStyle w:val="TableText"/>
              <w:spacing w:after="25"/>
            </w:pPr>
            <w:r>
              <w:rPr>
                <w:color w:val="172033"/>
                <w:sz w:val="18"/>
                <w:szCs w:val="18"/>
              </w:rPr>
              <w:t xml:space="preserve">Official full-MIND hidden-test protocol</w:t>
            </w:r>
          </w:p>
        </w:tc>
        <w:tc>
          <w:tcPr>
            <w:tcW w:w="950" w:type="dxa"/>
            <w:shd w:val="clear" w:fill="F8FAFC"/>
            <w:tcMar>
              <w:top w:w="80" w:type="dxa"/>
              <w:left w:w="100" w:type="dxa"/>
              <w:bottom w:w="80" w:type="dxa"/>
              <w:right w:w="100" w:type="dxa"/>
            </w:tcMar>
          </w:tcPr>
          <w:p>
            <w:pPr>
              <w:pStyle w:val="TableText"/>
              <w:spacing w:after="25"/>
            </w:pPr>
            <w:r>
              <w:rPr>
                <w:color w:val="172033"/>
                <w:sz w:val="18"/>
                <w:szCs w:val="18"/>
              </w:rPr>
              <w:t xml:space="preserve">0.7326</w:t>
            </w:r>
          </w:p>
        </w:tc>
        <w:tc>
          <w:tcPr>
            <w:tcW w:w="950" w:type="dxa"/>
            <w:shd w:val="clear" w:fill="F8FAFC"/>
            <w:tcMar>
              <w:top w:w="80" w:type="dxa"/>
              <w:left w:w="100" w:type="dxa"/>
              <w:bottom w:w="80" w:type="dxa"/>
              <w:right w:w="100" w:type="dxa"/>
            </w:tcMar>
          </w:tcPr>
          <w:p>
            <w:pPr>
              <w:pStyle w:val="TableText"/>
              <w:spacing w:after="25"/>
            </w:pPr>
            <w:r>
              <w:rPr>
                <w:color w:val="172033"/>
                <w:sz w:val="18"/>
                <w:szCs w:val="18"/>
              </w:rPr>
              <w:t xml:space="preserve">0.3780</w:t>
            </w:r>
          </w:p>
        </w:tc>
        <w:tc>
          <w:tcPr>
            <w:tcW w:w="950" w:type="dxa"/>
            <w:shd w:val="clear" w:fill="F8FAFC"/>
            <w:tcMar>
              <w:top w:w="80" w:type="dxa"/>
              <w:left w:w="100" w:type="dxa"/>
              <w:bottom w:w="80" w:type="dxa"/>
              <w:right w:w="100" w:type="dxa"/>
            </w:tcMar>
          </w:tcPr>
          <w:p>
            <w:pPr>
              <w:pStyle w:val="TableText"/>
              <w:spacing w:after="25"/>
            </w:pPr>
            <w:r>
              <w:rPr>
                <w:color w:val="172033"/>
                <w:sz w:val="18"/>
                <w:szCs w:val="18"/>
              </w:rPr>
              <w:t xml:space="preserve">0.4175</w:t>
            </w:r>
          </w:p>
        </w:tc>
        <w:tc>
          <w:tcPr>
            <w:tcW w:w="950" w:type="dxa"/>
            <w:shd w:val="clear" w:fill="F8FAFC"/>
            <w:tcMar>
              <w:top w:w="80" w:type="dxa"/>
              <w:left w:w="100" w:type="dxa"/>
              <w:bottom w:w="80" w:type="dxa"/>
              <w:right w:w="100" w:type="dxa"/>
            </w:tcMar>
          </w:tcPr>
          <w:p>
            <w:pPr>
              <w:pStyle w:val="TableText"/>
              <w:spacing w:after="25"/>
            </w:pPr>
            <w:r>
              <w:rPr>
                <w:color w:val="172033"/>
                <w:sz w:val="18"/>
                <w:szCs w:val="18"/>
              </w:rPr>
              <w:t xml:space="preserve">0.4735</w:t>
            </w:r>
          </w:p>
        </w:tc>
      </w:tr>
    </w:tbl>
    <w:p>
      <w:pPr>
        <w:spacing w:after="100"/>
      </w:pPr>
    </w:p>
    <w:p>
      <w:pPr>
        <w:pStyle w:val="Normal"/>
      </w:pPr>
      <w:r>
        <w:t xml:space="preserve">A numerical gap between rows must not be interpreted as a model ranking unless candidate slates, split, preprocessing, training information, metric implementation and reporting convention are matched. Those conditions have not been established here, so the published values are contextual targets rather than evidence of parity or a SOTA claim. The current result is nevertheless of sufficient scale to motivate a controlled, protocol-matched follow-up.</w:t>
      </w:r>
    </w:p>
    <w:p>
      <w:pPr>
        <w:pStyle w:val="Heading1"/>
        <w:keepNext/>
      </w:pPr>
      <w:r>
        <w:t xml:space="preserve">9. Sources</w:t>
      </w:r>
    </w:p>
    <w:p>
      <w:pPr>
        <w:pStyle w:val="References"/>
      </w:pPr>
      <w:r>
        <w:rPr>
          <w:b/>
        </w:rPr>
        <w:t xml:space="preserve">Official Microsoft MIND dataset and leaderboard: </w:t>
      </w:r>
      <w:hyperlink r:id="rIdLink1" w:history="1">
        <w:r>
          <w:rPr>
            <w:color w:val="0369A1"/>
            <w:u w:val="single"/>
          </w:rPr>
          <w:t>https://msnews.github.io/</w:t>
        </w:r>
      </w:hyperlink>
    </w:p>
    <w:p>
      <w:pPr>
        <w:pStyle w:val="References"/>
      </w:pPr>
      <w:r>
        <w:rPr>
          <w:b/>
        </w:rPr>
        <w:t xml:space="preserve">MIND dataset paper (ACL 2020): </w:t>
      </w:r>
      <w:hyperlink r:id="rIdLink2" w:history="1">
        <w:r>
          <w:rPr>
            <w:color w:val="0369A1"/>
            <w:u w:val="single"/>
          </w:rPr>
          <w:t>https://aclanthology.org/2020.acl-main.331/</w:t>
        </w:r>
      </w:hyperlink>
    </w:p>
    <w:p>
      <w:pPr>
        <w:pStyle w:val="References"/>
      </w:pPr>
      <w:r>
        <w:rPr>
          <w:b/>
        </w:rPr>
        <w:t xml:space="preserve">Microsoft Recommenders MRR and ranking-metric implementation: </w:t>
      </w:r>
      <w:hyperlink r:id="rIdLink3" w:history="1">
        <w:r>
          <w:rPr>
            <w:color w:val="0369A1"/>
            <w:u w:val="single"/>
          </w:rPr>
          <w:t>https://microsoft-recommenders.readthedocs.io/en/latest/_modules/recommenders/models/deeprec/deeprec_utils.html</w:t>
        </w:r>
      </w:hyperlink>
    </w:p>
    <w:p>
      <w:pPr>
        <w:pStyle w:val="References"/>
      </w:pPr>
      <w:r>
        <w:rPr>
          <w:b/>
        </w:rPr>
        <w:t xml:space="preserve">PCRec: Multi-Interest News Recommendation with Contrastive Learning: </w:t>
      </w:r>
      <w:hyperlink r:id="rIdLink4" w:history="1">
        <w:r>
          <w:rPr>
            <w:color w:val="0369A1"/>
            <w:u w:val="single"/>
          </w:rPr>
          <w:t>https://doi.org/10.1007/s11390-025-5088-6</w:t>
        </w:r>
      </w:hyperlink>
    </w:p>
    <w:p>
      <w:pPr>
        <w:pStyle w:val="References"/>
      </w:pPr>
      <w:r>
        <w:rPr>
          <w:b/>
        </w:rPr>
        <w:t xml:space="preserve">IP2: Entity-Guided Interest Probing for Personalized News Recommendation: </w:t>
      </w:r>
      <w:hyperlink r:id="rIdLink5" w:history="1">
        <w:r>
          <w:rPr>
            <w:color w:val="0369A1"/>
            <w:u w:val="single"/>
          </w:rPr>
          <w:t>https://doi.org/10.1145/3705328.3748091</w:t>
        </w:r>
      </w:hyperlink>
    </w:p>
    <w:sectPr>
      <w:footerReference w:type="default" r:id="rIdFooter1"/>
      <w:pgSz w:w="11906" w:h="16838"/>
      <w:pgMar w:top="1134" w:right="1134" w:bottom="1134" w:left="1134" w:header="567" w:footer="567" w:gutter="0"/>
      <w:cols w:space="708"/>
      <w:docGrid w:linePitch="360"/>
    </w:sectPr>
  </w:body>
</w:document>
</file>

<file path=word/footer1.xml><?xml version="1.0" encoding="utf-8"?>
<w:ftr xmlns:w="http://schemas.openxmlformats.org/wordprocessingml/2006/main" xmlns:r="http://schemas.openxmlformats.org/officeDocument/2006/relationships">
  <w:p>
    <w:pPr>
      <w:jc w:val="center"/>
    </w:pPr>
    <w:r>
      <w:rPr>
        <w:color w:val="64748B"/>
        <w:sz w:val="16"/>
        <w:szCs w:val="16"/>
      </w:rPr>
      <w:t xml:space="preserve">Symbolic ProofRank Benchmark  •  </w:t>
    </w:r>
    <w:r>
      <w:rPr>
        <w:color w:val="64748B"/>
        <w:sz w:val="16"/>
      </w:rPr>
      <w:fldChar w:fldCharType="begin"/>
    </w:r>
    <w:r>
      <w:instrText xml:space="preserve"> PAGE </w:instrText>
    </w:r>
    <w:r>
      <w:fldChar w:fldCharType="end"/>
    </w:r>
  </w:p>
</w:ftr>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ptos" w:hAnsi="Aptos"/>
        <w:sz w:val="21"/>
        <w:szCs w:val="21"/>
        <w:lang w:val="en-US"/>
      </w:rPr>
    </w:rPrDefault>
    <w:pPrDefault>
      <w:pPr>
        <w:spacing w:after="150" w:line="276" w:lineRule="auto"/>
      </w:pPr>
    </w:pPrDefault>
  </w:docDefaults>
  <w:style w:type="paragraph" w:default="1" w:styleId="Normal">
    <w:name w:val="Normal"/>
    <w:qFormat/>
    <w:pPr>
      <w:widowControl/>
    </w:pPr>
    <w:rPr>
      <w:color w:val="172033"/>
    </w:rPr>
  </w:style>
  <w:style w:type="paragraph" w:styleId="Title">
    <w:name w:val="Title"/>
    <w:basedOn w:val="Normal"/>
    <w:next w:val="Subtitle"/>
    <w:qFormat/>
    <w:pPr>
      <w:spacing w:before="800" w:after="240"/>
      <w:jc w:val="left"/>
    </w:pPr>
    <w:rPr>
      <w:rFonts w:ascii="Aptos Display" w:hAnsi="Aptos Display"/>
      <w:b/>
      <w:color w:val="0F172A"/>
      <w:sz w:val="44"/>
      <w:szCs w:val="44"/>
    </w:rPr>
  </w:style>
  <w:style w:type="paragraph" w:styleId="Subtitle">
    <w:name w:val="Subtitle"/>
    <w:basedOn w:val="Normal"/>
    <w:next w:val="Normal"/>
    <w:qFormat/>
    <w:pPr>
      <w:spacing w:after="260"/>
    </w:pPr>
    <w:rPr>
      <w:color w:val="475569"/>
      <w:sz w:val="25"/>
      <w:szCs w:val="25"/>
    </w:rPr>
  </w:style>
  <w:style w:type="paragraph" w:styleId="Heading1">
    <w:name w:val="heading 1"/>
    <w:basedOn w:val="Normal"/>
    <w:next w:val="Normal"/>
    <w:qFormat/>
    <w:pPr>
      <w:keepNext/>
      <w:keepLines/>
      <w:pageBreakBefore/>
      <w:spacing w:before="180" w:after="160"/>
      <w:outlineLvl w:val="0"/>
    </w:pPr>
    <w:rPr>
      <w:rFonts w:ascii="Aptos Display" w:hAnsi="Aptos Display"/>
      <w:b/>
      <w:color w:val="0F766E"/>
      <w:sz w:val="31"/>
      <w:szCs w:val="31"/>
    </w:rPr>
  </w:style>
  <w:style w:type="paragraph" w:styleId="Heading2">
    <w:name w:val="heading 2"/>
    <w:basedOn w:val="Normal"/>
    <w:next w:val="Normal"/>
    <w:qFormat/>
    <w:pPr>
      <w:keepNext/>
      <w:keepLines/>
      <w:spacing w:before="260" w:after="110"/>
      <w:outlineLvl w:val="1"/>
    </w:pPr>
    <w:rPr>
      <w:b/>
      <w:color w:val="115E59"/>
      <w:sz w:val="25"/>
      <w:szCs w:val="25"/>
    </w:rPr>
  </w:style>
  <w:style w:type="paragraph" w:styleId="Heading3">
    <w:name w:val="heading 3"/>
    <w:basedOn w:val="Normal"/>
    <w:next w:val="Normal"/>
    <w:qFormat/>
    <w:pPr>
      <w:keepNext/>
      <w:spacing w:before="180" w:after="80"/>
      <w:outlineLvl w:val="2"/>
    </w:pPr>
    <w:rPr>
      <w:b/>
      <w:color w:val="334155"/>
      <w:sz w:val="22"/>
      <w:szCs w:val="22"/>
    </w:rPr>
  </w:style>
  <w:style w:type="paragraph" w:styleId="Quote">
    <w:name w:val="Quote"/>
    <w:basedOn w:val="Normal"/>
    <w:pPr>
      <w:ind w:left="360" w:right="360"/>
      <w:spacing w:before="120" w:after="160"/>
    </w:pPr>
    <w:rPr>
      <w:i/>
      <w:color w:val="334155"/>
      <w:sz w:val="22"/>
    </w:rPr>
  </w:style>
  <w:style w:type="paragraph" w:styleId="Code">
    <w:name w:val="Code"/>
    <w:basedOn w:val="Normal"/>
    <w:rPr>
      <w:rFonts w:ascii="DejaVu Sans Mono" w:hAnsi="DejaVu Sans Mono"/>
      <w:color w:val="0F172A"/>
      <w:sz w:val="18"/>
    </w:rPr>
  </w:style>
  <w:style w:type="paragraph" w:styleId="Caption">
    <w:name w:val="Caption"/>
    <w:basedOn w:val="Normal"/>
    <w:pPr>
      <w:spacing w:after="120"/>
    </w:pPr>
    <w:rPr>
      <w:i/>
      <w:color w:val="64748B"/>
      <w:sz w:val="18"/>
    </w:rPr>
  </w:style>
  <w:style w:type="paragraph" w:styleId="TableText">
    <w:name w:val="Table Text"/>
    <w:basedOn w:val="Normal"/>
    <w:pPr>
      <w:spacing w:after="40" w:line="230" w:lineRule="auto"/>
    </w:pPr>
    <w:rPr>
      <w:sz w:val="19"/>
    </w:rPr>
  </w:style>
  <w:style w:type="paragraph" w:styleId="References">
    <w:name w:val="References"/>
    <w:basedOn w:val="Normal"/>
    <w:pPr>
      <w:spacing w:after="90"/>
    </w:pPr>
    <w:rPr>
      <w:sz w:val="19"/>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1" Type="http://schemas.openxmlformats.org/officeDocument/2006/relationships/footer" Target="footer1.xml"/><Relationship Id="rIdLink1" Type="http://schemas.openxmlformats.org/officeDocument/2006/relationships/hyperlink" Target="https://msnews.github.io/" TargetMode="External"/><Relationship Id="rIdLink2" Type="http://schemas.openxmlformats.org/officeDocument/2006/relationships/hyperlink" Target="https://aclanthology.org/2020.acl-main.331/" TargetMode="External"/><Relationship Id="rIdLink3" Type="http://schemas.openxmlformats.org/officeDocument/2006/relationships/hyperlink" Target="https://microsoft-recommenders.readthedocs.io/en/latest/_modules/recommenders/models/deeprec/deeprec_utils.html" TargetMode="External"/><Relationship Id="rIdLink4" Type="http://schemas.openxmlformats.org/officeDocument/2006/relationships/hyperlink" Target="https://doi.org/10.1007/s11390-025-5088-6" TargetMode="External"/><Relationship Id="rIdLink5" Type="http://schemas.openxmlformats.org/officeDocument/2006/relationships/hyperlink" Target="https://doi.org/10.1145/3705328.3748091" TargetMode="External"/></Relationships>
</file>

<file path=docProps/app.xml><?xml version="1.0" encoding="utf-8"?>
<Properties xmlns="http://schemas.openxmlformats.org/officeDocument/2006/extended-properties" xmlns:vt="http://schemas.openxmlformats.org/officeDocument/2006/docPropsVTypes">
  <Application>Mindplex report generator</Application>
  <DocSecurity>0</DocSecurity>
  <ScaleCrop>false</ScaleCrop>
  <Company>Mindplex</Company>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Symbolic ProofRank Benchmark</dc:title>
  <dc:subject>Current MIND-small accuracy and real-time performance</dc:subject>
  <dc:creator>Mindplex symbolic recommendation project</dc:creator>
  <cp:keywords>recommendation; PeTTa; PeTTaChainer; symbolic reasoning; fpMiner; MIND</cp:keywords>
  <dcterms:created xsi:type="dcterms:W3CDTF">2026-09-10T16:55:17Z</dcterms:created>
  <dcterms:modified xsi:type="dcterms:W3CDTF">2026-09-10T16:55:17Z</dcterms:modified>
</cp:coreProperties>
</file>