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Symbolic Recommendation System</w:t>
      </w:r>
    </w:p>
    <w:p>
      <w:pPr>
        <w:pStyle w:val="Subtitle"/>
      </w:pPr>
      <w:r>
        <w:t xml:space="preserve">Replication architecture and real-time learning protocol</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200"/>
        <w:gridCol w:w="6800"/>
      </w:tblGrid>
      <w:tr>
        <w:trPr>
          <w:tblHeader/>
        </w:trPr>
        <w:tc>
          <w:tcPr>
            <w:tcW w:w="2200" w:type="dxa"/>
            <w:shd w:val="clear" w:fill="0F766E"/>
            <w:tcMar>
              <w:top w:w="80" w:type="dxa"/>
              <w:left w:w="100" w:type="dxa"/>
              <w:bottom w:w="80" w:type="dxa"/>
              <w:right w:w="100" w:type="dxa"/>
            </w:tcMar>
          </w:tcPr>
          <w:p>
            <w:pPr>
              <w:pStyle w:val="TableText"/>
              <w:spacing w:after="70"/>
            </w:pPr>
            <w:r>
              <w:rPr>
                <w:b/>
                <w:color w:val="FFFFFF"/>
                <w:sz w:val="19"/>
                <w:szCs w:val="19"/>
              </w:rPr>
              <w:t xml:space="preserve">Document</w:t>
            </w:r>
          </w:p>
        </w:tc>
        <w:tc>
          <w:tcPr>
            <w:tcW w:w="6800" w:type="dxa"/>
            <w:shd w:val="clear" w:fill="0F766E"/>
            <w:tcMar>
              <w:top w:w="80" w:type="dxa"/>
              <w:left w:w="100" w:type="dxa"/>
              <w:bottom w:w="80" w:type="dxa"/>
              <w:right w:w="100" w:type="dxa"/>
            </w:tcMar>
          </w:tcPr>
          <w:p>
            <w:pPr>
              <w:pStyle w:val="TableText"/>
              <w:spacing w:after="70"/>
            </w:pPr>
            <w:r>
              <w:rPr>
                <w:b/>
                <w:color w:val="FFFFFF"/>
                <w:sz w:val="19"/>
                <w:szCs w:val="19"/>
              </w:rPr>
              <w:t xml:space="preserve">Value</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Type</w:t>
            </w:r>
          </w:p>
        </w:tc>
        <w:tc>
          <w:tcPr>
            <w:tcW w:w="6800" w:type="dxa"/>
            <w:shd w:val="clear" w:fill="FFFFFF"/>
            <w:tcMar>
              <w:top w:w="80" w:type="dxa"/>
              <w:left w:w="100" w:type="dxa"/>
              <w:bottom w:w="80" w:type="dxa"/>
              <w:right w:w="100" w:type="dxa"/>
            </w:tcMar>
          </w:tcPr>
          <w:p>
            <w:pPr>
              <w:pStyle w:val="TableText"/>
              <w:spacing w:after="70"/>
            </w:pPr>
            <w:r>
              <w:rPr>
                <w:color w:val="172033"/>
                <w:sz w:val="19"/>
                <w:szCs w:val="19"/>
              </w:rPr>
              <w:t xml:space="preserve">Normative technical architecture</w:t>
            </w:r>
          </w:p>
        </w:tc>
      </w:tr>
      <w:tr>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Version</w:t>
            </w:r>
          </w:p>
        </w:tc>
        <w:tc>
          <w:tcPr>
            <w:tcW w:w="6800" w:type="dxa"/>
            <w:shd w:val="clear" w:fill="F8FAFC"/>
            <w:tcMar>
              <w:top w:w="80" w:type="dxa"/>
              <w:left w:w="100" w:type="dxa"/>
              <w:bottom w:w="80" w:type="dxa"/>
              <w:right w:w="100" w:type="dxa"/>
            </w:tcMar>
          </w:tcPr>
          <w:p>
            <w:pPr>
              <w:pStyle w:val="TableText"/>
              <w:spacing w:after="70"/>
            </w:pPr>
            <w:r>
              <w:rPr>
                <w:color w:val="172033"/>
                <w:sz w:val="19"/>
                <w:szCs w:val="19"/>
              </w:rPr>
              <w:t xml:space="preserve">1.0</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Evidence cutoff</w:t>
            </w:r>
          </w:p>
        </w:tc>
        <w:tc>
          <w:tcPr>
            <w:tcW w:w="6800" w:type="dxa"/>
            <w:shd w:val="clear" w:fill="FFFFFF"/>
            <w:tcMar>
              <w:top w:w="80" w:type="dxa"/>
              <w:left w:w="100" w:type="dxa"/>
              <w:bottom w:w="80" w:type="dxa"/>
              <w:right w:w="100" w:type="dxa"/>
            </w:tcMar>
          </w:tcPr>
          <w:p>
            <w:pPr>
              <w:pStyle w:val="TableText"/>
              <w:spacing w:after="70"/>
            </w:pPr>
            <w:r>
              <w:rPr>
                <w:color w:val="172033"/>
                <w:sz w:val="19"/>
                <w:szCs w:val="19"/>
              </w:rPr>
              <w:t xml:space="preserve">10 September 2026</w:t>
            </w:r>
          </w:p>
        </w:tc>
      </w:tr>
      <w:tr>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Audience</w:t>
            </w:r>
          </w:p>
        </w:tc>
        <w:tc>
          <w:tcPr>
            <w:tcW w:w="6800" w:type="dxa"/>
            <w:shd w:val="clear" w:fill="F8FAFC"/>
            <w:tcMar>
              <w:top w:w="80" w:type="dxa"/>
              <w:left w:w="100" w:type="dxa"/>
              <w:bottom w:w="80" w:type="dxa"/>
              <w:right w:w="100" w:type="dxa"/>
            </w:tcMar>
          </w:tcPr>
          <w:p>
            <w:pPr>
              <w:pStyle w:val="TableText"/>
              <w:spacing w:after="70"/>
            </w:pPr>
            <w:r>
              <w:rPr>
                <w:color w:val="172033"/>
                <w:sz w:val="19"/>
                <w:szCs w:val="19"/>
              </w:rPr>
              <w:t xml:space="preserve">Independent engineering and research teams</w:t>
            </w:r>
          </w:p>
        </w:tc>
      </w:tr>
    </w:tbl>
    <w:p>
      <w:pPr>
        <w:spacing w:after="100"/>
      </w:pPr>
    </w:p>
    <w:tbl>
      <w:tblPr>
        <w:tblW w:w="0" w:type="auto"/>
        <w:tblCellMar>
          <w:top w:w="120" w:type="dxa"/>
          <w:left w:w="180" w:type="dxa"/>
          <w:bottom w:w="120" w:type="dxa"/>
          <w:right w:w="180" w:type="dxa"/>
        </w:tblCellMar>
      </w:tblPr>
      <w:tblGrid>
        <w:gridCol w:w="9000"/>
      </w:tblGrid>
      <w:tr>
        <w:tc>
          <w:tcPr>
            <w:shd w:val="clear" w:fill="EFF6FF"/>
            <w:tcBorders>
              <w:left w:val="single" w:sz="18" w:color="1D4ED8"/>
              <w:top w:val="nil"/>
              <w:bottom w:val="nil"/>
              <w:right w:val="nil"/>
            </w:tcBorders>
          </w:tcPr>
          <w:p>
            <w:pPr>
              <w:spacing w:after="60"/>
            </w:pPr>
            <w:r>
              <w:rPr>
                <w:b/>
                <w:color w:val="1D4ED8"/>
              </w:rPr>
              <w:t xml:space="preserve">Reading convention</w:t>
            </w:r>
          </w:p>
          <w:p>
            <w:pPr>
              <w:spacing w:after="0"/>
            </w:pPr>
            <w:r>
              <w:t xml:space="preserve">CURRENT means implemented and exercised. TARGET means part of the agreed replication architecture but not yet established by the reported benchmark. EXPERIMENTAL means implemented and measured without promotion.</w:t>
            </w:r>
          </w:p>
        </w:tc>
      </w:tr>
    </w:tbl>
    <w:p>
      <w:pPr>
        <w:spacing w:after="80"/>
      </w:pPr>
    </w:p>
    <w:p>
      <w:r>
        <w:br w:type="page"/>
      </w:r>
    </w:p>
    <w:p>
      <w:pPr>
        <w:pStyle w:val="Heading1"/>
        <w:keepNext/>
      </w:pPr>
      <w:r>
        <w:t xml:space="preserve">1. Purpose and replication boundary</w:t>
      </w:r>
    </w:p>
    <w:p>
      <w:pPr>
        <w:pStyle w:val="Normal"/>
      </w:pPr>
      <w:r>
        <w:t xml:space="preserve">This specification describes a recommendation architecture in which a real MeTTa frequent-pattern miner discovers behavioral rule structures and PeTTaChainer applies full-training CTV-estimated rules to current user and candidate facts. It is written for a team rebuilding the system independently. It intentionally avoids source-tree names, machine-specific paths, deployment secrets, and dataset-specific identifiers.</w:t>
      </w:r>
    </w:p>
    <w:tbl>
      <w:tblPr>
        <w:tblW w:w="0" w:type="auto"/>
        <w:tblCellMar>
          <w:top w:w="120" w:type="dxa"/>
          <w:left w:w="180" w:type="dxa"/>
          <w:bottom w:w="120" w:type="dxa"/>
          <w:right w:w="180" w:type="dxa"/>
        </w:tblCellMar>
      </w:tblPr>
      <w:tblGrid>
        <w:gridCol w:w="9000"/>
      </w:tblGrid>
      <w:tr>
        <w:tc>
          <w:tcPr>
            <w:shd w:val="clear" w:fill="ECFDF5"/>
            <w:tcBorders>
              <w:left w:val="single" w:sz="18" w:color="0F766E"/>
              <w:top w:val="nil"/>
              <w:bottom w:val="nil"/>
              <w:right w:val="nil"/>
            </w:tcBorders>
          </w:tcPr>
          <w:p>
            <w:pPr>
              <w:spacing w:after="60"/>
            </w:pPr>
            <w:r>
              <w:rPr>
                <w:b/>
                <w:color w:val="0F766E"/>
              </w:rPr>
              <w:t xml:space="preserve">Core contract</w:t>
            </w:r>
          </w:p>
          <w:p>
            <w:pPr>
              <w:spacing w:after="0"/>
            </w:pPr>
            <w:r>
              <w:t xml:space="preserve">The miner proposes symbolic structure from closed historical opportunities. A full-training recount turns observed support into uncertain truth values; any separate probability calibration must use data not consumed by that estimate. PeTTaChainer must produce the non-neutral evidence used for ranking. There is no popularity or host-language recommendation fallback.</w:t>
            </w:r>
          </w:p>
        </w:tc>
      </w:tr>
    </w:tbl>
    <w:p>
      <w:pPr>
        <w:spacing w:after="80"/>
      </w:pP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600"/>
        <w:gridCol w:w="1300"/>
        <w:gridCol w:w="5100"/>
      </w:tblGrid>
      <w:tr>
        <w:trPr>
          <w:tblHeader/>
        </w:trPr>
        <w:tc>
          <w:tcPr>
            <w:tcW w:w="2600" w:type="dxa"/>
            <w:shd w:val="clear" w:fill="0F766E"/>
            <w:tcMar>
              <w:top w:w="80" w:type="dxa"/>
              <w:left w:w="100" w:type="dxa"/>
              <w:bottom w:w="80" w:type="dxa"/>
              <w:right w:w="100" w:type="dxa"/>
            </w:tcMar>
          </w:tcPr>
          <w:p>
            <w:pPr>
              <w:pStyle w:val="TableText"/>
              <w:spacing w:after="70"/>
            </w:pPr>
            <w:r>
              <w:rPr>
                <w:b/>
                <w:color w:val="FFFFFF"/>
                <w:sz w:val="19"/>
                <w:szCs w:val="19"/>
              </w:rPr>
              <w:t xml:space="preserve">Capability</w:t>
            </w:r>
          </w:p>
        </w:tc>
        <w:tc>
          <w:tcPr>
            <w:tcW w:w="1300" w:type="dxa"/>
            <w:shd w:val="clear" w:fill="0F766E"/>
            <w:tcMar>
              <w:top w:w="80" w:type="dxa"/>
              <w:left w:w="100" w:type="dxa"/>
              <w:bottom w:w="80" w:type="dxa"/>
              <w:right w:w="100" w:type="dxa"/>
            </w:tcMar>
          </w:tcPr>
          <w:p>
            <w:pPr>
              <w:pStyle w:val="TableText"/>
              <w:spacing w:after="70"/>
            </w:pPr>
            <w:r>
              <w:rPr>
                <w:b/>
                <w:color w:val="FFFFFF"/>
                <w:sz w:val="19"/>
                <w:szCs w:val="19"/>
              </w:rPr>
              <w:t xml:space="preserve">Status</w:t>
            </w:r>
          </w:p>
        </w:tc>
        <w:tc>
          <w:tcPr>
            <w:tcW w:w="5100" w:type="dxa"/>
            <w:shd w:val="clear" w:fill="0F766E"/>
            <w:tcMar>
              <w:top w:w="80" w:type="dxa"/>
              <w:left w:w="100" w:type="dxa"/>
              <w:bottom w:w="80" w:type="dxa"/>
              <w:right w:w="100" w:type="dxa"/>
            </w:tcMar>
          </w:tcPr>
          <w:p>
            <w:pPr>
              <w:pStyle w:val="TableText"/>
              <w:spacing w:after="70"/>
            </w:pPr>
            <w:r>
              <w:rPr>
                <w:b/>
                <w:color w:val="FFFFFF"/>
                <w:sz w:val="19"/>
                <w:szCs w:val="19"/>
              </w:rPr>
              <w:t xml:space="preserve">Replication interpretation</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Point and pair symbolic workspaces</w:t>
            </w:r>
          </w:p>
        </w:tc>
        <w:tc>
          <w:tcPr>
            <w:tcW w:w="1300" w:type="dxa"/>
            <w:shd w:val="clear" w:fill="FFFFFF"/>
            <w:tcMar>
              <w:top w:w="80" w:type="dxa"/>
              <w:left w:w="100" w:type="dxa"/>
              <w:bottom w:w="80" w:type="dxa"/>
              <w:right w:w="100" w:type="dxa"/>
            </w:tcMar>
          </w:tcPr>
          <w:p>
            <w:pPr>
              <w:pStyle w:val="TableText"/>
              <w:spacing w:after="70"/>
            </w:pPr>
            <w:r>
              <w:rPr>
                <w:color w:val="172033"/>
                <w:sz w:val="19"/>
                <w:szCs w:val="19"/>
              </w:rPr>
              <w:t xml:space="preserve">CURRENT</w:t>
            </w:r>
          </w:p>
        </w:tc>
        <w:tc>
          <w:tcPr>
            <w:tcW w:w="5100" w:type="dxa"/>
            <w:shd w:val="clear" w:fill="FFFFFF"/>
            <w:tcMar>
              <w:top w:w="80" w:type="dxa"/>
              <w:left w:w="100" w:type="dxa"/>
              <w:bottom w:w="80" w:type="dxa"/>
              <w:right w:w="100" w:type="dxa"/>
            </w:tcMar>
          </w:tcPr>
          <w:p>
            <w:pPr>
              <w:pStyle w:val="TableText"/>
              <w:spacing w:after="70"/>
            </w:pPr>
            <w:r>
              <w:rPr>
                <w:color w:val="172033"/>
                <w:sz w:val="19"/>
                <w:szCs w:val="19"/>
              </w:rPr>
              <w:t xml:space="preserve">Implemented and benchmarked.</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Real fpMiner discovery</w:t>
            </w:r>
          </w:p>
        </w:tc>
        <w:tc>
          <w:tcPr>
            <w:tcW w:w="1300" w:type="dxa"/>
            <w:shd w:val="clear" w:fill="F8FAFC"/>
            <w:tcMar>
              <w:top w:w="80" w:type="dxa"/>
              <w:left w:w="100" w:type="dxa"/>
              <w:bottom w:w="80" w:type="dxa"/>
              <w:right w:w="100" w:type="dxa"/>
            </w:tcMar>
          </w:tcPr>
          <w:p>
            <w:pPr>
              <w:pStyle w:val="TableText"/>
              <w:spacing w:after="70"/>
            </w:pPr>
            <w:r>
              <w:rPr>
                <w:color w:val="172033"/>
                <w:sz w:val="19"/>
                <w:szCs w:val="19"/>
              </w:rPr>
              <w:t xml:space="preserve">CURRENT</w:t>
            </w:r>
          </w:p>
        </w:tc>
        <w:tc>
          <w:tcPr>
            <w:tcW w:w="5100" w:type="dxa"/>
            <w:shd w:val="clear" w:fill="F8FAFC"/>
            <w:tcMar>
              <w:top w:w="80" w:type="dxa"/>
              <w:left w:w="100" w:type="dxa"/>
              <w:bottom w:w="80" w:type="dxa"/>
              <w:right w:w="100" w:type="dxa"/>
            </w:tcMar>
          </w:tcPr>
          <w:p>
            <w:pPr>
              <w:pStyle w:val="TableText"/>
              <w:spacing w:after="70"/>
            </w:pPr>
            <w:r>
              <w:rPr>
                <w:color w:val="172033"/>
                <w:sz w:val="19"/>
                <w:szCs w:val="19"/>
              </w:rPr>
              <w:t xml:space="preserve">The actual MeTTa frequency-pattern-miner is invoked.</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PeTTaChainer proof scoring</w:t>
            </w:r>
          </w:p>
        </w:tc>
        <w:tc>
          <w:tcPr>
            <w:tcW w:w="1300" w:type="dxa"/>
            <w:shd w:val="clear" w:fill="FFFFFF"/>
            <w:tcMar>
              <w:top w:w="80" w:type="dxa"/>
              <w:left w:w="100" w:type="dxa"/>
              <w:bottom w:w="80" w:type="dxa"/>
              <w:right w:w="100" w:type="dxa"/>
            </w:tcMar>
          </w:tcPr>
          <w:p>
            <w:pPr>
              <w:pStyle w:val="TableText"/>
              <w:spacing w:after="70"/>
            </w:pPr>
            <w:r>
              <w:rPr>
                <w:color w:val="172033"/>
                <w:sz w:val="19"/>
                <w:szCs w:val="19"/>
              </w:rPr>
              <w:t xml:space="preserve">CURRENT</w:t>
            </w:r>
          </w:p>
        </w:tc>
        <w:tc>
          <w:tcPr>
            <w:tcW w:w="5100" w:type="dxa"/>
            <w:shd w:val="clear" w:fill="FFFFFF"/>
            <w:tcMar>
              <w:top w:w="80" w:type="dxa"/>
              <w:left w:w="100" w:type="dxa"/>
              <w:bottom w:w="80" w:type="dxa"/>
              <w:right w:w="100" w:type="dxa"/>
            </w:tcMar>
          </w:tcPr>
          <w:p>
            <w:pPr>
              <w:pStyle w:val="TableText"/>
              <w:spacing w:after="70"/>
            </w:pPr>
            <w:r>
              <w:rPr>
                <w:color w:val="172033"/>
                <w:sz w:val="19"/>
                <w:szCs w:val="19"/>
              </w:rPr>
              <w:t xml:space="preserve">Mined rules and current facts produce proof STVs.</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Immediate private feedback and queue rerank</w:t>
            </w:r>
          </w:p>
        </w:tc>
        <w:tc>
          <w:tcPr>
            <w:tcW w:w="1300" w:type="dxa"/>
            <w:shd w:val="clear" w:fill="F8FAFC"/>
            <w:tcMar>
              <w:top w:w="80" w:type="dxa"/>
              <w:left w:w="100" w:type="dxa"/>
              <w:bottom w:w="80" w:type="dxa"/>
              <w:right w:w="100" w:type="dxa"/>
            </w:tcMar>
          </w:tcPr>
          <w:p>
            <w:pPr>
              <w:pStyle w:val="TableText"/>
              <w:spacing w:after="70"/>
            </w:pPr>
            <w:r>
              <w:rPr>
                <w:color w:val="172033"/>
                <w:sz w:val="19"/>
                <w:szCs w:val="19"/>
              </w:rPr>
              <w:t xml:space="preserve">CURRENT</w:t>
            </w:r>
          </w:p>
        </w:tc>
        <w:tc>
          <w:tcPr>
            <w:tcW w:w="5100" w:type="dxa"/>
            <w:shd w:val="clear" w:fill="F8FAFC"/>
            <w:tcMar>
              <w:top w:w="80" w:type="dxa"/>
              <w:left w:w="100" w:type="dxa"/>
              <w:bottom w:w="80" w:type="dxa"/>
              <w:right w:w="100" w:type="dxa"/>
            </w:tcMar>
          </w:tcPr>
          <w:p>
            <w:pPr>
              <w:pStyle w:val="TableText"/>
              <w:spacing w:after="70"/>
            </w:pPr>
            <w:r>
              <w:rPr>
                <w:color w:val="172033"/>
                <w:sz w:val="19"/>
                <w:szCs w:val="19"/>
              </w:rPr>
              <w:t xml:space="preserve">The active user state changes without waiting for global mining.</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Append-incremental support discovery</w:t>
            </w:r>
          </w:p>
        </w:tc>
        <w:tc>
          <w:tcPr>
            <w:tcW w:w="1300" w:type="dxa"/>
            <w:shd w:val="clear" w:fill="FFFFFF"/>
            <w:tcMar>
              <w:top w:w="80" w:type="dxa"/>
              <w:left w:w="100" w:type="dxa"/>
              <w:bottom w:w="80" w:type="dxa"/>
              <w:right w:w="100" w:type="dxa"/>
            </w:tcMar>
          </w:tcPr>
          <w:p>
            <w:pPr>
              <w:pStyle w:val="TableText"/>
              <w:spacing w:after="70"/>
            </w:pPr>
            <w:r>
              <w:rPr>
                <w:color w:val="172033"/>
                <w:sz w:val="19"/>
                <w:szCs w:val="19"/>
              </w:rPr>
              <w:t xml:space="preserve">CURRENT</w:t>
            </w:r>
          </w:p>
        </w:tc>
        <w:tc>
          <w:tcPr>
            <w:tcW w:w="5100" w:type="dxa"/>
            <w:shd w:val="clear" w:fill="FFFFFF"/>
            <w:tcMar>
              <w:top w:w="80" w:type="dxa"/>
              <w:left w:w="100" w:type="dxa"/>
              <w:bottom w:w="80" w:type="dxa"/>
              <w:right w:w="100" w:type="dxa"/>
            </w:tcMar>
          </w:tcPr>
          <w:p>
            <w:pPr>
              <w:pStyle w:val="TableText"/>
              <w:spacing w:after="70"/>
            </w:pPr>
            <w:r>
              <w:rPr>
                <w:color w:val="172033"/>
                <w:sz w:val="19"/>
                <w:szCs w:val="19"/>
              </w:rPr>
              <w:t xml:space="preserve">New complete cases are mined in a delta AtomSpace; unchanged plans issue zero miner queries.</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Exact bounded retention</w:t>
            </w:r>
          </w:p>
        </w:tc>
        <w:tc>
          <w:tcPr>
            <w:tcW w:w="1300" w:type="dxa"/>
            <w:shd w:val="clear" w:fill="F8FAFC"/>
            <w:tcMar>
              <w:top w:w="80" w:type="dxa"/>
              <w:left w:w="100" w:type="dxa"/>
              <w:bottom w:w="80" w:type="dxa"/>
              <w:right w:w="100" w:type="dxa"/>
            </w:tcMar>
          </w:tcPr>
          <w:p>
            <w:pPr>
              <w:pStyle w:val="TableText"/>
              <w:spacing w:after="70"/>
            </w:pPr>
            <w:r>
              <w:rPr>
                <w:color w:val="172033"/>
                <w:sz w:val="19"/>
                <w:szCs w:val="19"/>
              </w:rPr>
              <w:t xml:space="preserve">CURRENT</w:t>
            </w:r>
          </w:p>
        </w:tc>
        <w:tc>
          <w:tcPr>
            <w:tcW w:w="5100" w:type="dxa"/>
            <w:shd w:val="clear" w:fill="F8FAFC"/>
            <w:tcMar>
              <w:top w:w="80" w:type="dxa"/>
              <w:left w:w="100" w:type="dxa"/>
              <w:bottom w:w="80" w:type="dxa"/>
              <w:right w:w="100" w:type="dxa"/>
            </w:tcMar>
          </w:tcPr>
          <w:p>
            <w:pPr>
              <w:pStyle w:val="TableText"/>
              <w:spacing w:after="70"/>
            </w:pPr>
            <w:r>
              <w:rPr>
                <w:color w:val="172033"/>
                <w:sz w:val="19"/>
                <w:szCs w:val="19"/>
              </w:rPr>
              <w:t xml:space="preserve">The newest whole causal-unit suffix is bounded to 25,000 units and 250,000 cases by default; expiration forces an exact full rebuild.</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Asynchronous full model build and atomic swap</w:t>
            </w:r>
          </w:p>
        </w:tc>
        <w:tc>
          <w:tcPr>
            <w:tcW w:w="1300" w:type="dxa"/>
            <w:shd w:val="clear" w:fill="FFFFFF"/>
            <w:tcMar>
              <w:top w:w="80" w:type="dxa"/>
              <w:left w:w="100" w:type="dxa"/>
              <w:bottom w:w="80" w:type="dxa"/>
              <w:right w:w="100" w:type="dxa"/>
            </w:tcMar>
          </w:tcPr>
          <w:p>
            <w:pPr>
              <w:pStyle w:val="TableText"/>
              <w:spacing w:after="70"/>
            </w:pPr>
            <w:r>
              <w:rPr>
                <w:color w:val="172033"/>
                <w:sz w:val="19"/>
                <w:szCs w:val="19"/>
              </w:rPr>
              <w:t xml:space="preserve">CURRENT</w:t>
            </w:r>
          </w:p>
        </w:tc>
        <w:tc>
          <w:tcPr>
            <w:tcW w:w="5100" w:type="dxa"/>
            <w:shd w:val="clear" w:fill="FFFFFF"/>
            <w:tcMar>
              <w:top w:w="80" w:type="dxa"/>
              <w:left w:w="100" w:type="dxa"/>
              <w:bottom w:w="80" w:type="dxa"/>
              <w:right w:w="100" w:type="dxa"/>
            </w:tcMar>
          </w:tcPr>
          <w:p>
            <w:pPr>
              <w:pStyle w:val="TableText"/>
              <w:spacing w:after="70"/>
            </w:pPr>
            <w:r>
              <w:rPr>
                <w:color w:val="172033"/>
                <w:sz w:val="19"/>
                <w:szCs w:val="19"/>
              </w:rPr>
              <w:t xml:space="preserve">The previous scorer serves until a coherent new worker is ready.</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Dual N-or-T micro-batch trigger</w:t>
            </w:r>
          </w:p>
        </w:tc>
        <w:tc>
          <w:tcPr>
            <w:tcW w:w="1300" w:type="dxa"/>
            <w:shd w:val="clear" w:fill="F8FAFC"/>
            <w:tcMar>
              <w:top w:w="80" w:type="dxa"/>
              <w:left w:w="100" w:type="dxa"/>
              <w:bottom w:w="80" w:type="dxa"/>
              <w:right w:w="100" w:type="dxa"/>
            </w:tcMar>
          </w:tcPr>
          <w:p>
            <w:pPr>
              <w:pStyle w:val="TableText"/>
              <w:spacing w:after="70"/>
            </w:pPr>
            <w:r>
              <w:rPr>
                <w:color w:val="172033"/>
                <w:sz w:val="19"/>
                <w:szCs w:val="19"/>
              </w:rPr>
              <w:t xml:space="preserve">TARGET</w:t>
            </w:r>
          </w:p>
        </w:tc>
        <w:tc>
          <w:tcPr>
            <w:tcW w:w="5100" w:type="dxa"/>
            <w:shd w:val="clear" w:fill="F8FAFC"/>
            <w:tcMar>
              <w:top w:w="80" w:type="dxa"/>
              <w:left w:w="100" w:type="dxa"/>
              <w:bottom w:w="80" w:type="dxa"/>
              <w:right w:w="100" w:type="dxa"/>
            </w:tcMar>
          </w:tcPr>
          <w:p>
            <w:pPr>
              <w:pStyle w:val="TableText"/>
              <w:spacing w:after="70"/>
            </w:pPr>
            <w:r>
              <w:rPr>
                <w:color w:val="172033"/>
                <w:sz w:val="19"/>
                <w:szCs w:val="19"/>
              </w:rPr>
              <w:t xml:space="preserve">Use event volume or elapsed time; the prototype has an event-count trigger.</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Cohort and learned personal rule tiers</w:t>
            </w:r>
          </w:p>
        </w:tc>
        <w:tc>
          <w:tcPr>
            <w:tcW w:w="1300" w:type="dxa"/>
            <w:shd w:val="clear" w:fill="FFFFFF"/>
            <w:tcMar>
              <w:top w:w="80" w:type="dxa"/>
              <w:left w:w="100" w:type="dxa"/>
              <w:bottom w:w="80" w:type="dxa"/>
              <w:right w:w="100" w:type="dxa"/>
            </w:tcMar>
          </w:tcPr>
          <w:p>
            <w:pPr>
              <w:pStyle w:val="TableText"/>
              <w:spacing w:after="70"/>
            </w:pPr>
            <w:r>
              <w:rPr>
                <w:color w:val="172033"/>
                <w:sz w:val="19"/>
                <w:szCs w:val="19"/>
              </w:rPr>
              <w:t xml:space="preserve">TARGET</w:t>
            </w:r>
          </w:p>
        </w:tc>
        <w:tc>
          <w:tcPr>
            <w:tcW w:w="5100" w:type="dxa"/>
            <w:shd w:val="clear" w:fill="FFFFFF"/>
            <w:tcMar>
              <w:top w:w="80" w:type="dxa"/>
              <w:left w:w="100" w:type="dxa"/>
              <w:bottom w:w="80" w:type="dxa"/>
              <w:right w:w="100" w:type="dxa"/>
            </w:tcMar>
          </w:tcPr>
          <w:p>
            <w:pPr>
              <w:pStyle w:val="TableText"/>
              <w:spacing w:after="70"/>
            </w:pPr>
            <w:r>
              <w:rPr>
                <w:color w:val="172033"/>
                <w:sz w:val="19"/>
                <w:szCs w:val="19"/>
              </w:rPr>
              <w:t xml:space="preserve">Use hierarchical backoff; current learned rules are global.</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CTV estimation and final tournament entirely in MeTTa</w:t>
            </w:r>
          </w:p>
        </w:tc>
        <w:tc>
          <w:tcPr>
            <w:tcW w:w="1300" w:type="dxa"/>
            <w:shd w:val="clear" w:fill="F8FAFC"/>
            <w:tcMar>
              <w:top w:w="80" w:type="dxa"/>
              <w:left w:w="100" w:type="dxa"/>
              <w:bottom w:w="80" w:type="dxa"/>
              <w:right w:w="100" w:type="dxa"/>
            </w:tcMar>
          </w:tcPr>
          <w:p>
            <w:pPr>
              <w:pStyle w:val="TableText"/>
              <w:spacing w:after="70"/>
            </w:pPr>
            <w:r>
              <w:rPr>
                <w:color w:val="172033"/>
                <w:sz w:val="19"/>
                <w:szCs w:val="19"/>
              </w:rPr>
              <w:t xml:space="preserve">TARGET</w:t>
            </w:r>
          </w:p>
        </w:tc>
        <w:tc>
          <w:tcPr>
            <w:tcW w:w="5100" w:type="dxa"/>
            <w:shd w:val="clear" w:fill="F8FAFC"/>
            <w:tcMar>
              <w:top w:w="80" w:type="dxa"/>
              <w:left w:w="100" w:type="dxa"/>
              <w:bottom w:w="80" w:type="dxa"/>
              <w:right w:w="100" w:type="dxa"/>
            </w:tcMar>
          </w:tcPr>
          <w:p>
            <w:pPr>
              <w:pStyle w:val="TableText"/>
              <w:spacing w:after="70"/>
            </w:pPr>
            <w:r>
              <w:rPr>
                <w:color w:val="172033"/>
                <w:sz w:val="19"/>
                <w:szCs w:val="19"/>
              </w:rPr>
              <w:t xml:space="preserve">Current arithmetic is audited outside the proof engine.</w:t>
            </w:r>
          </w:p>
        </w:tc>
      </w:tr>
    </w:tbl>
    <w:p>
      <w:pPr>
        <w:spacing w:after="100"/>
      </w:pPr>
    </w:p>
    <w:p>
      <w:pPr>
        <w:pStyle w:val="Heading1"/>
        <w:keepNext/>
      </w:pPr>
      <w:r>
        <w:t xml:space="preserve">2. System model</w:t>
      </w:r>
    </w:p>
    <w:p>
      <w:pPr>
        <w:pStyle w:val="Normal"/>
      </w:pPr>
      <w:r>
        <w:t xml:space="preserve">The system consists of six logical planes. They may share a process in a laboratory deployment, but their state and responsibilities must remain separate.</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800"/>
        <w:gridCol w:w="4700"/>
        <w:gridCol w:w="2500"/>
      </w:tblGrid>
      <w:tr>
        <w:trPr>
          <w:tblHeader/>
        </w:trPr>
        <w:tc>
          <w:tcPr>
            <w:tcW w:w="1800" w:type="dxa"/>
            <w:shd w:val="clear" w:fill="0F766E"/>
            <w:tcMar>
              <w:top w:w="80" w:type="dxa"/>
              <w:left w:w="100" w:type="dxa"/>
              <w:bottom w:w="80" w:type="dxa"/>
              <w:right w:w="100" w:type="dxa"/>
            </w:tcMar>
          </w:tcPr>
          <w:p>
            <w:pPr>
              <w:pStyle w:val="TableText"/>
              <w:spacing w:after="70"/>
            </w:pPr>
            <w:r>
              <w:rPr>
                <w:b/>
                <w:color w:val="FFFFFF"/>
                <w:sz w:val="19"/>
                <w:szCs w:val="19"/>
              </w:rPr>
              <w:t xml:space="preserve">Plane</w:t>
            </w:r>
          </w:p>
        </w:tc>
        <w:tc>
          <w:tcPr>
            <w:tcW w:w="4700" w:type="dxa"/>
            <w:shd w:val="clear" w:fill="0F766E"/>
            <w:tcMar>
              <w:top w:w="80" w:type="dxa"/>
              <w:left w:w="100" w:type="dxa"/>
              <w:bottom w:w="80" w:type="dxa"/>
              <w:right w:w="100" w:type="dxa"/>
            </w:tcMar>
          </w:tcPr>
          <w:p>
            <w:pPr>
              <w:pStyle w:val="TableText"/>
              <w:spacing w:after="70"/>
            </w:pPr>
            <w:r>
              <w:rPr>
                <w:b/>
                <w:color w:val="FFFFFF"/>
                <w:sz w:val="19"/>
                <w:szCs w:val="19"/>
              </w:rPr>
              <w:t xml:space="preserve">Responsibility</w:t>
            </w:r>
          </w:p>
        </w:tc>
        <w:tc>
          <w:tcPr>
            <w:tcW w:w="2500" w:type="dxa"/>
            <w:shd w:val="clear" w:fill="0F766E"/>
            <w:tcMar>
              <w:top w:w="80" w:type="dxa"/>
              <w:left w:w="100" w:type="dxa"/>
              <w:bottom w:w="80" w:type="dxa"/>
              <w:right w:w="100" w:type="dxa"/>
            </w:tcMar>
          </w:tcPr>
          <w:p>
            <w:pPr>
              <w:pStyle w:val="TableText"/>
              <w:spacing w:after="70"/>
            </w:pPr>
            <w:r>
              <w:rPr>
                <w:b/>
                <w:color w:val="FFFFFF"/>
                <w:sz w:val="19"/>
                <w:szCs w:val="19"/>
              </w:rPr>
              <w:t xml:space="preserve">Principal output</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Ingestion</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Validate articles, exposures and explicit outcomes; attach provenance.</w:t>
            </w:r>
          </w:p>
        </w:tc>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Canonical event and article records</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Feature projection</w:t>
            </w:r>
          </w:p>
        </w:tc>
        <w:tc>
          <w:tcPr>
            <w:tcW w:w="4700" w:type="dxa"/>
            <w:shd w:val="clear" w:fill="F8FAFC"/>
            <w:tcMar>
              <w:top w:w="80" w:type="dxa"/>
              <w:left w:w="100" w:type="dxa"/>
              <w:bottom w:w="80" w:type="dxa"/>
              <w:right w:w="100" w:type="dxa"/>
            </w:tcMar>
          </w:tcPr>
          <w:p>
            <w:pPr>
              <w:pStyle w:val="TableText"/>
              <w:spacing w:after="70"/>
            </w:pPr>
            <w:r>
              <w:rPr>
                <w:color w:val="172033"/>
                <w:sz w:val="19"/>
                <w:szCs w:val="19"/>
              </w:rPr>
              <w:t xml:space="preserve">Create causal, bounded symbolic observations from article content and preceding user state.</w:t>
            </w:r>
          </w:p>
        </w:tc>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Point and relative pair facts</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Mining</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Search closed historical cases for supported target-aware premise structures.</w:t>
            </w:r>
          </w:p>
        </w:tc>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Rule structures and discovery counts</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CTV estimation and selection</w:t>
            </w:r>
          </w:p>
        </w:tc>
        <w:tc>
          <w:tcPr>
            <w:tcW w:w="4700" w:type="dxa"/>
            <w:shd w:val="clear" w:fill="F8FAFC"/>
            <w:tcMar>
              <w:top w:w="80" w:type="dxa"/>
              <w:left w:w="100" w:type="dxa"/>
              <w:bottom w:w="80" w:type="dxa"/>
              <w:right w:w="100" w:type="dxa"/>
            </w:tcMar>
          </w:tcPr>
          <w:p>
            <w:pPr>
              <w:pStyle w:val="TableText"/>
              <w:spacing w:after="70"/>
            </w:pPr>
            <w:r>
              <w:rPr>
                <w:color w:val="172033"/>
                <w:sz w:val="19"/>
                <w:szCs w:val="19"/>
              </w:rPr>
              <w:t xml:space="preserve">Recount selected structures on the complete training population, control dependencies and validate stability.</w:t>
            </w:r>
          </w:p>
        </w:tc>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Versioned CTV rule artifact</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Reasoning and ranking</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Ground live facts, ask PeTTaChainer for proof STVs and construct a slate from proof-derived evidence.</w:t>
            </w:r>
          </w:p>
        </w:tc>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Ranked candidates with provenance</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Feedback and model lifecycle</w:t>
            </w:r>
          </w:p>
        </w:tc>
        <w:tc>
          <w:tcPr>
            <w:tcW w:w="4700" w:type="dxa"/>
            <w:shd w:val="clear" w:fill="F8FAFC"/>
            <w:tcMar>
              <w:top w:w="80" w:type="dxa"/>
              <w:left w:w="100" w:type="dxa"/>
              <w:bottom w:w="80" w:type="dxa"/>
              <w:right w:w="100" w:type="dxa"/>
            </w:tcMar>
          </w:tcPr>
          <w:p>
            <w:pPr>
              <w:pStyle w:val="TableText"/>
              <w:spacing w:after="70"/>
            </w:pPr>
            <w:r>
              <w:rPr>
                <w:color w:val="172033"/>
                <w:sz w:val="19"/>
                <w:szCs w:val="19"/>
              </w:rPr>
              <w:t xml:space="preserve">Apply immediate private state updates; micro-batch global learning; atomically promote accepted models.</w:t>
            </w:r>
          </w:p>
        </w:tc>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Revised queue and new model versions</w:t>
            </w:r>
          </w:p>
        </w:tc>
      </w:tr>
    </w:tbl>
    <w:p>
      <w:pPr>
        <w:spacing w:after="100"/>
      </w:pPr>
    </w:p>
    <w:p>
      <w:pPr>
        <w:pStyle w:val="Code"/>
        <w:ind w:left="360" w:right="180"/>
        <w:spacing w:before="80" w:after="0"/>
        <w:shd w:val="clear" w:color="auto" w:fill="F1F5F9"/>
      </w:pPr>
      <w:r>
        <w:rPr>
          <w:sz w:val="18"/>
          <w:szCs w:val="18"/>
          <w:rFonts w:ascii="DejaVu Sans Mono" w:hAnsi="DejaVu Sans Mono"/>
        </w:rPr>
        <w:t xml:space="preserve">article + exposure + preceding user state</w:t>
      </w:r>
    </w:p>
    <w:p>
      <w:pPr>
        <w:pStyle w:val="Code"/>
        <w:ind w:left="360" w:right="180"/>
        <w:spacing w:before="0" w:after="0"/>
        <w:shd w:val="clear" w:color="auto" w:fill="F1F5F9"/>
      </w:pPr>
      <w:r>
        <w:rPr>
          <w:sz w:val="18"/>
          <w:szCs w:val="18"/>
          <w:rFonts w:ascii="DejaVu Sans Mono" w:hAnsi="DejaVu Sans Mono"/>
        </w:rPr>
        <w:t xml:space="preserve">    -&gt; causal symbolic observations</w:t>
      </w:r>
    </w:p>
    <w:p>
      <w:pPr>
        <w:pStyle w:val="Code"/>
        <w:ind w:left="360" w:right="180"/>
        <w:spacing w:before="0" w:after="0"/>
        <w:shd w:val="clear" w:color="auto" w:fill="F1F5F9"/>
      </w:pPr>
      <w:r>
        <w:rPr>
          <w:sz w:val="18"/>
          <w:szCs w:val="18"/>
          <w:rFonts w:ascii="DejaVu Sans Mono" w:hAnsi="DejaVu Sans Mono"/>
        </w:rPr>
        <w:t xml:space="preserve">    -&gt; point cases and balanced pair cases</w:t>
      </w:r>
    </w:p>
    <w:p>
      <w:pPr>
        <w:pStyle w:val="Code"/>
        <w:ind w:left="360" w:right="180"/>
        <w:spacing w:before="0" w:after="0"/>
        <w:shd w:val="clear" w:color="auto" w:fill="F1F5F9"/>
      </w:pPr>
      <w:r>
        <w:rPr>
          <w:sz w:val="18"/>
          <w:szCs w:val="18"/>
          <w:rFonts w:ascii="DejaVu Sans Mono" w:hAnsi="DejaVu Sans Mono"/>
        </w:rPr>
        <w:t xml:space="preserve">    -&gt; fpMiner structure discovery</w:t>
      </w:r>
    </w:p>
    <w:p>
      <w:pPr>
        <w:pStyle w:val="Code"/>
        <w:ind w:left="360" w:right="180"/>
        <w:spacing w:before="0" w:after="0"/>
        <w:shd w:val="clear" w:color="auto" w:fill="F1F5F9"/>
      </w:pPr>
      <w:r>
        <w:rPr>
          <w:sz w:val="18"/>
          <w:szCs w:val="18"/>
          <w:rFonts w:ascii="DejaVu Sans Mono" w:hAnsi="DejaVu Sans Mono"/>
        </w:rPr>
        <w:t xml:space="preserve">    -&gt; full-training recount, CTV estimation and dependency control</w:t>
      </w:r>
    </w:p>
    <w:p>
      <w:pPr>
        <w:pStyle w:val="Code"/>
        <w:ind w:left="360" w:right="180"/>
        <w:spacing w:before="0" w:after="0"/>
        <w:shd w:val="clear" w:color="auto" w:fill="F1F5F9"/>
      </w:pPr>
      <w:r>
        <w:rPr>
          <w:sz w:val="18"/>
          <w:szCs w:val="18"/>
          <w:rFonts w:ascii="DejaVu Sans Mono" w:hAnsi="DejaVu Sans Mono"/>
        </w:rPr>
        <w:t xml:space="preserve">    -&gt; versioned PeTTaChainer rules</w:t>
      </w:r>
    </w:p>
    <w:p>
      <w:pPr>
        <w:pStyle w:val="Code"/>
        <w:ind w:left="360" w:right="180"/>
        <w:spacing w:before="0" w:after="0"/>
        <w:shd w:val="clear" w:color="auto" w:fill="F1F5F9"/>
      </w:pPr>
      <w:r>
        <w:rPr>
          <w:sz w:val="18"/>
          <w:szCs w:val="18"/>
          <w:rFonts w:ascii="DejaVu Sans Mono" w:hAnsi="DejaVu Sans Mono"/>
        </w:rPr>
        <w:t xml:space="preserve">    -&gt; live grounded proofs</w:t>
      </w:r>
    </w:p>
    <w:p>
      <w:pPr>
        <w:pStyle w:val="Code"/>
        <w:ind w:left="360" w:right="180"/>
        <w:spacing w:before="0" w:after="0"/>
        <w:shd w:val="clear" w:color="auto" w:fill="F1F5F9"/>
      </w:pPr>
      <w:r>
        <w:rPr>
          <w:sz w:val="18"/>
          <w:szCs w:val="18"/>
          <w:rFonts w:ascii="DejaVu Sans Mono" w:hAnsi="DejaVu Sans Mono"/>
        </w:rPr>
        <w:t xml:space="preserve">    -&gt; proof-ranked feed</w:t>
      </w:r>
    </w:p>
    <w:p>
      <w:pPr>
        <w:pStyle w:val="Code"/>
        <w:ind w:left="360" w:right="180"/>
        <w:spacing w:before="0" w:after="80"/>
        <w:shd w:val="clear" w:color="auto" w:fill="F1F5F9"/>
      </w:pPr>
      <w:r>
        <w:rPr>
          <w:sz w:val="18"/>
          <w:szCs w:val="18"/>
          <w:rFonts w:ascii="DejaVu Sans Mono" w:hAnsi="DejaVu Sans Mono"/>
        </w:rPr>
        <w:t xml:space="preserve">    -&gt; private feedback now; global delta learning later</w:t>
      </w:r>
    </w:p>
    <w:p>
      <w:pPr>
        <w:pStyle w:val="Heading1"/>
        <w:keepNext/>
      </w:pPr>
      <w:r>
        <w:t xml:space="preserve">3. Canonical data contract</w:t>
      </w:r>
    </w:p>
    <w:p>
      <w:pPr>
        <w:pStyle w:val="Normal"/>
      </w:pPr>
      <w:r>
        <w:t xml:space="preserve">A portable adapter must produce the following logical records. Field names may vary, but the causal meaning must not.</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500"/>
        <w:gridCol w:w="4700"/>
        <w:gridCol w:w="2800"/>
      </w:tblGrid>
      <w:tr>
        <w:trPr>
          <w:tblHeader/>
        </w:trPr>
        <w:tc>
          <w:tcPr>
            <w:tcW w:w="1500" w:type="dxa"/>
            <w:shd w:val="clear" w:fill="0F766E"/>
            <w:tcMar>
              <w:top w:w="80" w:type="dxa"/>
              <w:left w:w="100" w:type="dxa"/>
              <w:bottom w:w="80" w:type="dxa"/>
              <w:right w:w="100" w:type="dxa"/>
            </w:tcMar>
          </w:tcPr>
          <w:p>
            <w:pPr>
              <w:pStyle w:val="TableText"/>
              <w:spacing w:after="70"/>
            </w:pPr>
            <w:r>
              <w:rPr>
                <w:b/>
                <w:color w:val="FFFFFF"/>
                <w:sz w:val="19"/>
                <w:szCs w:val="19"/>
              </w:rPr>
              <w:t xml:space="preserve">Record</w:t>
            </w:r>
          </w:p>
        </w:tc>
        <w:tc>
          <w:tcPr>
            <w:tcW w:w="4700" w:type="dxa"/>
            <w:shd w:val="clear" w:fill="0F766E"/>
            <w:tcMar>
              <w:top w:w="80" w:type="dxa"/>
              <w:left w:w="100" w:type="dxa"/>
              <w:bottom w:w="80" w:type="dxa"/>
              <w:right w:w="100" w:type="dxa"/>
            </w:tcMar>
          </w:tcPr>
          <w:p>
            <w:pPr>
              <w:pStyle w:val="TableText"/>
              <w:spacing w:after="70"/>
            </w:pPr>
            <w:r>
              <w:rPr>
                <w:b/>
                <w:color w:val="FFFFFF"/>
                <w:sz w:val="19"/>
                <w:szCs w:val="19"/>
              </w:rPr>
              <w:t xml:space="preserve">Required content</w:t>
            </w:r>
          </w:p>
        </w:tc>
        <w:tc>
          <w:tcPr>
            <w:tcW w:w="2800" w:type="dxa"/>
            <w:shd w:val="clear" w:fill="0F766E"/>
            <w:tcMar>
              <w:top w:w="80" w:type="dxa"/>
              <w:left w:w="100" w:type="dxa"/>
              <w:bottom w:w="80" w:type="dxa"/>
              <w:right w:w="100" w:type="dxa"/>
            </w:tcMar>
          </w:tcPr>
          <w:p>
            <w:pPr>
              <w:pStyle w:val="TableText"/>
              <w:spacing w:after="70"/>
            </w:pPr>
            <w:r>
              <w:rPr>
                <w:b/>
                <w:color w:val="FFFFFF"/>
                <w:sz w:val="19"/>
                <w:szCs w:val="19"/>
              </w:rPr>
              <w:t xml:space="preserve">Invariant</w:t>
            </w:r>
          </w:p>
        </w:tc>
      </w:tr>
      <w:tr>
        <w:tc>
          <w:tcPr>
            <w:tcW w:w="1500" w:type="dxa"/>
            <w:shd w:val="clear" w:fill="FFFFFF"/>
            <w:tcMar>
              <w:top w:w="80" w:type="dxa"/>
              <w:left w:w="100" w:type="dxa"/>
              <w:bottom w:w="80" w:type="dxa"/>
              <w:right w:w="100" w:type="dxa"/>
            </w:tcMar>
          </w:tcPr>
          <w:p>
            <w:pPr>
              <w:pStyle w:val="TableText"/>
              <w:spacing w:after="70"/>
            </w:pPr>
            <w:r>
              <w:rPr>
                <w:color w:val="172033"/>
                <w:sz w:val="19"/>
                <w:szCs w:val="19"/>
              </w:rPr>
              <w:t xml:space="preserve">Article</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Stable content ID; content version; publication time; title/body; taxonomy; extracted entities and semantic descriptors when available.</w:t>
            </w:r>
          </w:p>
        </w:tc>
        <w:tc>
          <w:tcPr>
            <w:tcW w:w="2800" w:type="dxa"/>
            <w:shd w:val="clear" w:fill="FFFFFF"/>
            <w:tcMar>
              <w:top w:w="80" w:type="dxa"/>
              <w:left w:w="100" w:type="dxa"/>
              <w:bottom w:w="80" w:type="dxa"/>
              <w:right w:w="100" w:type="dxa"/>
            </w:tcMar>
          </w:tcPr>
          <w:p>
            <w:pPr>
              <w:pStyle w:val="TableText"/>
              <w:spacing w:after="70"/>
            </w:pPr>
            <w:r>
              <w:rPr>
                <w:color w:val="172033"/>
                <w:sz w:val="19"/>
                <w:szCs w:val="19"/>
              </w:rPr>
              <w:t xml:space="preserve">A content change creates a new version and invalidates derived evidence.</w:t>
            </w:r>
          </w:p>
        </w:tc>
      </w:tr>
      <w:tr>
        <w:tc>
          <w:tcPr>
            <w:tcW w:w="1500" w:type="dxa"/>
            <w:shd w:val="clear" w:fill="F8FAFC"/>
            <w:tcMar>
              <w:top w:w="80" w:type="dxa"/>
              <w:left w:w="100" w:type="dxa"/>
              <w:bottom w:w="80" w:type="dxa"/>
              <w:right w:w="100" w:type="dxa"/>
            </w:tcMar>
          </w:tcPr>
          <w:p>
            <w:pPr>
              <w:pStyle w:val="TableText"/>
              <w:spacing w:after="70"/>
            </w:pPr>
            <w:r>
              <w:rPr>
                <w:color w:val="172033"/>
                <w:sz w:val="19"/>
                <w:szCs w:val="19"/>
              </w:rPr>
              <w:t xml:space="preserve">Impression</w:t>
            </w:r>
          </w:p>
        </w:tc>
        <w:tc>
          <w:tcPr>
            <w:tcW w:w="4700" w:type="dxa"/>
            <w:shd w:val="clear" w:fill="F8FAFC"/>
            <w:tcMar>
              <w:top w:w="80" w:type="dxa"/>
              <w:left w:w="100" w:type="dxa"/>
              <w:bottom w:w="80" w:type="dxa"/>
              <w:right w:w="100" w:type="dxa"/>
            </w:tcMar>
          </w:tcPr>
          <w:p>
            <w:pPr>
              <w:pStyle w:val="TableText"/>
              <w:spacing w:after="70"/>
            </w:pPr>
            <w:r>
              <w:rPr>
                <w:color w:val="172033"/>
                <w:sz w:val="19"/>
                <w:szCs w:val="19"/>
              </w:rPr>
              <w:t xml:space="preserve">Stable opportunity ID; user or anonymous session; timestamp; complete displayed slate; display positions; policy/version identifiers.</w:t>
            </w:r>
          </w:p>
        </w:tc>
        <w:tc>
          <w:tcPr>
            <w:tcW w:w="2800" w:type="dxa"/>
            <w:shd w:val="clear" w:fill="F8FAFC"/>
            <w:tcMar>
              <w:top w:w="80" w:type="dxa"/>
              <w:left w:w="100" w:type="dxa"/>
              <w:bottom w:w="80" w:type="dxa"/>
              <w:right w:w="100" w:type="dxa"/>
            </w:tcMar>
          </w:tcPr>
          <w:p>
            <w:pPr>
              <w:pStyle w:val="TableText"/>
              <w:spacing w:after="70"/>
            </w:pPr>
            <w:r>
              <w:rPr>
                <w:color w:val="172033"/>
                <w:sz w:val="19"/>
                <w:szCs w:val="19"/>
              </w:rPr>
              <w:t xml:space="preserve">All candidates share one pre-outcome state snapshot.</w:t>
            </w:r>
          </w:p>
        </w:tc>
      </w:tr>
      <w:tr>
        <w:tc>
          <w:tcPr>
            <w:tcW w:w="1500" w:type="dxa"/>
            <w:shd w:val="clear" w:fill="FFFFFF"/>
            <w:tcMar>
              <w:top w:w="80" w:type="dxa"/>
              <w:left w:w="100" w:type="dxa"/>
              <w:bottom w:w="80" w:type="dxa"/>
              <w:right w:w="100" w:type="dxa"/>
            </w:tcMar>
          </w:tcPr>
          <w:p>
            <w:pPr>
              <w:pStyle w:val="TableText"/>
              <w:spacing w:after="70"/>
            </w:pPr>
            <w:r>
              <w:rPr>
                <w:color w:val="172033"/>
                <w:sz w:val="19"/>
                <w:szCs w:val="19"/>
              </w:rPr>
              <w:t xml:space="preserve">Exposure</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Impression ID; candidate ID; visibility and delivery confirmation.</w:t>
            </w:r>
          </w:p>
        </w:tc>
        <w:tc>
          <w:tcPr>
            <w:tcW w:w="2800" w:type="dxa"/>
            <w:shd w:val="clear" w:fill="FFFFFF"/>
            <w:tcMar>
              <w:top w:w="80" w:type="dxa"/>
              <w:left w:w="100" w:type="dxa"/>
              <w:bottom w:w="80" w:type="dxa"/>
              <w:right w:w="100" w:type="dxa"/>
            </w:tcMar>
          </w:tcPr>
          <w:p>
            <w:pPr>
              <w:pStyle w:val="TableText"/>
              <w:spacing w:after="70"/>
            </w:pPr>
            <w:r>
              <w:rPr>
                <w:color w:val="172033"/>
                <w:sz w:val="19"/>
                <w:szCs w:val="19"/>
              </w:rPr>
              <w:t xml:space="preserve">Unseen candidates cannot be labeled as skips.</w:t>
            </w:r>
          </w:p>
        </w:tc>
      </w:tr>
      <w:tr>
        <w:tc>
          <w:tcPr>
            <w:tcW w:w="1500" w:type="dxa"/>
            <w:shd w:val="clear" w:fill="F8FAFC"/>
            <w:tcMar>
              <w:top w:w="80" w:type="dxa"/>
              <w:left w:w="100" w:type="dxa"/>
              <w:bottom w:w="80" w:type="dxa"/>
              <w:right w:w="100" w:type="dxa"/>
            </w:tcMar>
          </w:tcPr>
          <w:p>
            <w:pPr>
              <w:pStyle w:val="TableText"/>
              <w:spacing w:after="70"/>
            </w:pPr>
            <w:r>
              <w:rPr>
                <w:color w:val="172033"/>
                <w:sz w:val="19"/>
                <w:szCs w:val="19"/>
              </w:rPr>
              <w:t xml:space="preserve">Outcome</w:t>
            </w:r>
          </w:p>
        </w:tc>
        <w:tc>
          <w:tcPr>
            <w:tcW w:w="4700" w:type="dxa"/>
            <w:shd w:val="clear" w:fill="F8FAFC"/>
            <w:tcMar>
              <w:top w:w="80" w:type="dxa"/>
              <w:left w:w="100" w:type="dxa"/>
              <w:bottom w:w="80" w:type="dxa"/>
              <w:right w:w="100" w:type="dxa"/>
            </w:tcMar>
          </w:tcPr>
          <w:p>
            <w:pPr>
              <w:pStyle w:val="TableText"/>
              <w:spacing w:after="70"/>
            </w:pPr>
            <w:r>
              <w:rPr>
                <w:color w:val="172033"/>
                <w:sz w:val="19"/>
                <w:szCs w:val="19"/>
              </w:rPr>
              <w:t xml:space="preserve">Explicit event type; event time; dwell/completion fields; polarity; idempotency key.</w:t>
            </w:r>
          </w:p>
        </w:tc>
        <w:tc>
          <w:tcPr>
            <w:tcW w:w="2800" w:type="dxa"/>
            <w:shd w:val="clear" w:fill="F8FAFC"/>
            <w:tcMar>
              <w:top w:w="80" w:type="dxa"/>
              <w:left w:w="100" w:type="dxa"/>
              <w:bottom w:w="80" w:type="dxa"/>
              <w:right w:w="100" w:type="dxa"/>
            </w:tcMar>
          </w:tcPr>
          <w:p>
            <w:pPr>
              <w:pStyle w:val="TableText"/>
              <w:spacing w:after="70"/>
            </w:pPr>
            <w:r>
              <w:rPr>
                <w:color w:val="172033"/>
                <w:sz w:val="19"/>
                <w:szCs w:val="19"/>
              </w:rPr>
              <w:t xml:space="preserve">Outcome is joined after feature capture and never leaks into its own inputs.</w:t>
            </w:r>
          </w:p>
        </w:tc>
      </w:tr>
      <w:tr>
        <w:tc>
          <w:tcPr>
            <w:tcW w:w="1500" w:type="dxa"/>
            <w:shd w:val="clear" w:fill="FFFFFF"/>
            <w:tcMar>
              <w:top w:w="80" w:type="dxa"/>
              <w:left w:w="100" w:type="dxa"/>
              <w:bottom w:w="80" w:type="dxa"/>
              <w:right w:w="100" w:type="dxa"/>
            </w:tcMar>
          </w:tcPr>
          <w:p>
            <w:pPr>
              <w:pStyle w:val="TableText"/>
              <w:spacing w:after="70"/>
            </w:pPr>
            <w:r>
              <w:rPr>
                <w:color w:val="172033"/>
                <w:sz w:val="19"/>
                <w:szCs w:val="19"/>
              </w:rPr>
              <w:t xml:space="preserve">User state</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Preceding interactions, recent session state, bounded negative history and consent/privacy scope.</w:t>
            </w:r>
          </w:p>
        </w:tc>
        <w:tc>
          <w:tcPr>
            <w:tcW w:w="2800" w:type="dxa"/>
            <w:shd w:val="clear" w:fill="FFFFFF"/>
            <w:tcMar>
              <w:top w:w="80" w:type="dxa"/>
              <w:left w:w="100" w:type="dxa"/>
              <w:bottom w:w="80" w:type="dxa"/>
              <w:right w:w="100" w:type="dxa"/>
            </w:tcMar>
          </w:tcPr>
          <w:p>
            <w:pPr>
              <w:pStyle w:val="TableText"/>
              <w:spacing w:after="70"/>
            </w:pPr>
            <w:r>
              <w:rPr>
                <w:color w:val="172033"/>
                <w:sz w:val="19"/>
                <w:szCs w:val="19"/>
              </w:rPr>
              <w:t xml:space="preserve">Only state available before the impression may ground a training case.</w:t>
            </w:r>
          </w:p>
        </w:tc>
      </w:tr>
    </w:tbl>
    <w:p>
      <w:pPr>
        <w:spacing w:after="100"/>
      </w:pPr>
    </w:p>
    <w:p>
      <w:pPr>
        <w:pStyle w:val="Heading1"/>
        <w:keepNext/>
      </w:pPr>
      <w:r>
        <w:t xml:space="preserve">3.1 Behavioral targets</w:t>
      </w:r>
    </w:p>
    <w:p>
      <w:pPr>
        <w:pStyle w:val="Normal"/>
      </w:pPr>
      <w:r>
        <w:t xml:space="preserve">Targets should be recorded separately rather than collapsed into one generic positive event.</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800"/>
        <w:gridCol w:w="3100"/>
        <w:gridCol w:w="4100"/>
      </w:tblGrid>
      <w:tr>
        <w:trPr>
          <w:tblHeader/>
        </w:trPr>
        <w:tc>
          <w:tcPr>
            <w:tcW w:w="1800" w:type="dxa"/>
            <w:shd w:val="clear" w:fill="0F766E"/>
            <w:tcMar>
              <w:top w:w="80" w:type="dxa"/>
              <w:left w:w="100" w:type="dxa"/>
              <w:bottom w:w="80" w:type="dxa"/>
              <w:right w:w="100" w:type="dxa"/>
            </w:tcMar>
          </w:tcPr>
          <w:p>
            <w:pPr>
              <w:pStyle w:val="TableText"/>
              <w:spacing w:after="70"/>
            </w:pPr>
            <w:r>
              <w:rPr>
                <w:b/>
                <w:color w:val="FFFFFF"/>
                <w:sz w:val="19"/>
                <w:szCs w:val="19"/>
              </w:rPr>
              <w:t xml:space="preserve">Signal</w:t>
            </w:r>
          </w:p>
        </w:tc>
        <w:tc>
          <w:tcPr>
            <w:tcW w:w="3100" w:type="dxa"/>
            <w:shd w:val="clear" w:fill="0F766E"/>
            <w:tcMar>
              <w:top w:w="80" w:type="dxa"/>
              <w:left w:w="100" w:type="dxa"/>
              <w:bottom w:w="80" w:type="dxa"/>
              <w:right w:w="100" w:type="dxa"/>
            </w:tcMar>
          </w:tcPr>
          <w:p>
            <w:pPr>
              <w:pStyle w:val="TableText"/>
              <w:spacing w:after="70"/>
            </w:pPr>
            <w:r>
              <w:rPr>
                <w:b/>
                <w:color w:val="FFFFFF"/>
                <w:sz w:val="19"/>
                <w:szCs w:val="19"/>
              </w:rPr>
              <w:t xml:space="preserve">Meaning</w:t>
            </w:r>
          </w:p>
        </w:tc>
        <w:tc>
          <w:tcPr>
            <w:tcW w:w="4100" w:type="dxa"/>
            <w:shd w:val="clear" w:fill="0F766E"/>
            <w:tcMar>
              <w:top w:w="80" w:type="dxa"/>
              <w:left w:w="100" w:type="dxa"/>
              <w:bottom w:w="80" w:type="dxa"/>
              <w:right w:w="100" w:type="dxa"/>
            </w:tcMar>
          </w:tcPr>
          <w:p>
            <w:pPr>
              <w:pStyle w:val="TableText"/>
              <w:spacing w:after="70"/>
            </w:pPr>
            <w:r>
              <w:rPr>
                <w:b/>
                <w:color w:val="FFFFFF"/>
                <w:sz w:val="19"/>
                <w:szCs w:val="19"/>
              </w:rPr>
              <w:t xml:space="preserve">Recommended treatment</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click/open</w:t>
            </w:r>
          </w:p>
        </w:tc>
        <w:tc>
          <w:tcPr>
            <w:tcW w:w="3100" w:type="dxa"/>
            <w:shd w:val="clear" w:fill="FFFFFF"/>
            <w:tcMar>
              <w:top w:w="80" w:type="dxa"/>
              <w:left w:w="100" w:type="dxa"/>
              <w:bottom w:w="80" w:type="dxa"/>
              <w:right w:w="100" w:type="dxa"/>
            </w:tcMar>
          </w:tcPr>
          <w:p>
            <w:pPr>
              <w:pStyle w:val="TableText"/>
              <w:spacing w:after="70"/>
            </w:pPr>
            <w:r>
              <w:rPr>
                <w:color w:val="172033"/>
                <w:sz w:val="19"/>
                <w:szCs w:val="19"/>
              </w:rPr>
              <w:t xml:space="preserve">The article was opened.</w:t>
            </w:r>
          </w:p>
        </w:tc>
        <w:tc>
          <w:tcPr>
            <w:tcW w:w="4100" w:type="dxa"/>
            <w:shd w:val="clear" w:fill="FFFFFF"/>
            <w:tcMar>
              <w:top w:w="80" w:type="dxa"/>
              <w:left w:w="100" w:type="dxa"/>
              <w:bottom w:w="80" w:type="dxa"/>
              <w:right w:w="100" w:type="dxa"/>
            </w:tcMar>
          </w:tcPr>
          <w:p>
            <w:pPr>
              <w:pStyle w:val="TableText"/>
              <w:spacing w:after="70"/>
            </w:pPr>
            <w:r>
              <w:rPr>
                <w:color w:val="172033"/>
                <w:sz w:val="19"/>
                <w:szCs w:val="19"/>
              </w:rPr>
              <w:t xml:space="preserve">Weak positive target; do not equate with satisfaction.</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like/save/share</w:t>
            </w:r>
          </w:p>
        </w:tc>
        <w:tc>
          <w:tcPr>
            <w:tcW w:w="3100" w:type="dxa"/>
            <w:shd w:val="clear" w:fill="F8FAFC"/>
            <w:tcMar>
              <w:top w:w="80" w:type="dxa"/>
              <w:left w:w="100" w:type="dxa"/>
              <w:bottom w:w="80" w:type="dxa"/>
              <w:right w:w="100" w:type="dxa"/>
            </w:tcMar>
          </w:tcPr>
          <w:p>
            <w:pPr>
              <w:pStyle w:val="TableText"/>
              <w:spacing w:after="70"/>
            </w:pPr>
            <w:r>
              <w:rPr>
                <w:color w:val="172033"/>
                <w:sz w:val="19"/>
                <w:szCs w:val="19"/>
              </w:rPr>
              <w:t xml:space="preserve">Explicit high-intent action.</w:t>
            </w:r>
          </w:p>
        </w:tc>
        <w:tc>
          <w:tcPr>
            <w:tcW w:w="4100" w:type="dxa"/>
            <w:shd w:val="clear" w:fill="F8FAFC"/>
            <w:tcMar>
              <w:top w:w="80" w:type="dxa"/>
              <w:left w:w="100" w:type="dxa"/>
              <w:bottom w:w="80" w:type="dxa"/>
              <w:right w:w="100" w:type="dxa"/>
            </w:tcMar>
          </w:tcPr>
          <w:p>
            <w:pPr>
              <w:pStyle w:val="TableText"/>
              <w:spacing w:after="70"/>
            </w:pPr>
            <w:r>
              <w:rPr>
                <w:color w:val="172033"/>
                <w:sz w:val="19"/>
                <w:szCs w:val="19"/>
              </w:rPr>
              <w:t xml:space="preserve">Separate positive target and possible utility component.</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complete</w:t>
            </w:r>
          </w:p>
        </w:tc>
        <w:tc>
          <w:tcPr>
            <w:tcW w:w="3100" w:type="dxa"/>
            <w:shd w:val="clear" w:fill="FFFFFF"/>
            <w:tcMar>
              <w:top w:w="80" w:type="dxa"/>
              <w:left w:w="100" w:type="dxa"/>
              <w:bottom w:w="80" w:type="dxa"/>
              <w:right w:w="100" w:type="dxa"/>
            </w:tcMar>
          </w:tcPr>
          <w:p>
            <w:pPr>
              <w:pStyle w:val="TableText"/>
              <w:spacing w:after="70"/>
            </w:pPr>
            <w:r>
              <w:rPr>
                <w:color w:val="172033"/>
                <w:sz w:val="19"/>
                <w:szCs w:val="19"/>
              </w:rPr>
              <w:t xml:space="preserve">A sufficient fraction was consumed with plausible dwell time.</w:t>
            </w:r>
          </w:p>
        </w:tc>
        <w:tc>
          <w:tcPr>
            <w:tcW w:w="4100" w:type="dxa"/>
            <w:shd w:val="clear" w:fill="FFFFFF"/>
            <w:tcMar>
              <w:top w:w="80" w:type="dxa"/>
              <w:left w:w="100" w:type="dxa"/>
              <w:bottom w:w="80" w:type="dxa"/>
              <w:right w:w="100" w:type="dxa"/>
            </w:tcMar>
          </w:tcPr>
          <w:p>
            <w:pPr>
              <w:pStyle w:val="TableText"/>
              <w:spacing w:after="70"/>
            </w:pPr>
            <w:r>
              <w:rPr>
                <w:color w:val="172033"/>
                <w:sz w:val="19"/>
                <w:szCs w:val="19"/>
              </w:rPr>
              <w:t xml:space="preserve">Derived telemetry target, not ordinarily a manual button.</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passive scroll-past</w:t>
            </w:r>
          </w:p>
        </w:tc>
        <w:tc>
          <w:tcPr>
            <w:tcW w:w="3100" w:type="dxa"/>
            <w:shd w:val="clear" w:fill="F8FAFC"/>
            <w:tcMar>
              <w:top w:w="80" w:type="dxa"/>
              <w:left w:w="100" w:type="dxa"/>
              <w:bottom w:w="80" w:type="dxa"/>
              <w:right w:w="100" w:type="dxa"/>
            </w:tcMar>
          </w:tcPr>
          <w:p>
            <w:pPr>
              <w:pStyle w:val="TableText"/>
              <w:spacing w:after="70"/>
            </w:pPr>
            <w:r>
              <w:rPr>
                <w:color w:val="172033"/>
                <w:sz w:val="19"/>
                <w:szCs w:val="19"/>
              </w:rPr>
              <w:t xml:space="preserve">The card was visible but not opened.</w:t>
            </w:r>
          </w:p>
        </w:tc>
        <w:tc>
          <w:tcPr>
            <w:tcW w:w="4100" w:type="dxa"/>
            <w:shd w:val="clear" w:fill="F8FAFC"/>
            <w:tcMar>
              <w:top w:w="80" w:type="dxa"/>
              <w:left w:w="100" w:type="dxa"/>
              <w:bottom w:w="80" w:type="dxa"/>
              <w:right w:w="100" w:type="dxa"/>
            </w:tcMar>
          </w:tcPr>
          <w:p>
            <w:pPr>
              <w:pStyle w:val="TableText"/>
              <w:spacing w:after="70"/>
            </w:pPr>
            <w:r>
              <w:rPr>
                <w:color w:val="172033"/>
                <w:sz w:val="19"/>
                <w:szCs w:val="19"/>
              </w:rPr>
              <w:t xml:space="preserve">Weak or unknown negative; require visibility threshold.</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not interested/hide/report</w:t>
            </w:r>
          </w:p>
        </w:tc>
        <w:tc>
          <w:tcPr>
            <w:tcW w:w="3100" w:type="dxa"/>
            <w:shd w:val="clear" w:fill="FFFFFF"/>
            <w:tcMar>
              <w:top w:w="80" w:type="dxa"/>
              <w:left w:w="100" w:type="dxa"/>
              <w:bottom w:w="80" w:type="dxa"/>
              <w:right w:w="100" w:type="dxa"/>
            </w:tcMar>
          </w:tcPr>
          <w:p>
            <w:pPr>
              <w:pStyle w:val="TableText"/>
              <w:spacing w:after="70"/>
            </w:pPr>
            <w:r>
              <w:rPr>
                <w:color w:val="172033"/>
                <w:sz w:val="19"/>
                <w:szCs w:val="19"/>
              </w:rPr>
              <w:t xml:space="preserve">Explicit rejection.</w:t>
            </w:r>
          </w:p>
        </w:tc>
        <w:tc>
          <w:tcPr>
            <w:tcW w:w="4100" w:type="dxa"/>
            <w:shd w:val="clear" w:fill="FFFFFF"/>
            <w:tcMar>
              <w:top w:w="80" w:type="dxa"/>
              <w:left w:w="100" w:type="dxa"/>
              <w:bottom w:w="80" w:type="dxa"/>
              <w:right w:w="100" w:type="dxa"/>
            </w:tcMar>
          </w:tcPr>
          <w:p>
            <w:pPr>
              <w:pStyle w:val="TableText"/>
              <w:spacing w:after="70"/>
            </w:pPr>
            <w:r>
              <w:rPr>
                <w:color w:val="172033"/>
                <w:sz w:val="19"/>
                <w:szCs w:val="19"/>
              </w:rPr>
              <w:t xml:space="preserve">Strong negative target with bounded lifetime and policy safeguards.</w:t>
            </w:r>
          </w:p>
        </w:tc>
      </w:tr>
    </w:tbl>
    <w:p>
      <w:pPr>
        <w:spacing w:after="100"/>
      </w:pPr>
    </w:p>
    <w:p>
      <w:pPr>
        <w:pStyle w:val="Heading1"/>
        <w:keepNext/>
      </w:pPr>
      <w:r>
        <w:t xml:space="preserve">4. Causal feature construction</w:t>
      </w:r>
    </w:p>
    <w:p>
      <w:pPr>
        <w:pStyle w:val="Normal"/>
      </w:pPr>
      <w:r>
        <w:t xml:space="preserve">For every impression, freeze user counters and history before computing any candidate features. Compute every candidate from that shared snapshot. Only after the complete slate has been represented may exposure and outcome counters be updated. This prevents one candidate's click from becoming another candidate's feature in the same recommendation opportunity.</w:t>
      </w:r>
    </w:p>
    <w:p>
      <w:pPr>
        <w:pStyle w:val="Normal"/>
      </w:pPr>
      <w:r>
        <w:rPr>
          <w:b/>
          <w:color w:val="0F766E"/>
        </w:rPr>
        <w:t xml:space="preserve">1.  </w:t>
      </w:r>
      <w:r>
        <w:t xml:space="preserve">Read the ordered interaction history and aggregate counters as of time t−.</w:t>
      </w:r>
    </w:p>
    <w:p>
      <w:pPr>
        <w:pStyle w:val="Normal"/>
      </w:pPr>
      <w:r>
        <w:rPr>
          <w:b/>
          <w:color w:val="0F766E"/>
        </w:rPr>
        <w:t xml:space="preserve">2.  </w:t>
      </w:r>
      <w:r>
        <w:t xml:space="preserve">Resolve the complete candidate slate and article versions.</w:t>
      </w:r>
    </w:p>
    <w:p>
      <w:pPr>
        <w:pStyle w:val="Normal"/>
      </w:pPr>
      <w:r>
        <w:rPr>
          <w:b/>
          <w:color w:val="0F766E"/>
        </w:rPr>
        <w:t xml:space="preserve">3.  </w:t>
      </w:r>
      <w:r>
        <w:t xml:space="preserve">Compute article-relative and history-relative facts for every candidate without reading current outcomes.</w:t>
      </w:r>
    </w:p>
    <w:p>
      <w:pPr>
        <w:pStyle w:val="Normal"/>
      </w:pPr>
      <w:r>
        <w:rPr>
          <w:b/>
          <w:color w:val="0F766E"/>
        </w:rPr>
        <w:t xml:space="preserve">4.  </w:t>
      </w:r>
      <w:r>
        <w:t xml:space="preserve">Persist the feature snapshot or a reproducible reference to it.</w:t>
      </w:r>
    </w:p>
    <w:p>
      <w:pPr>
        <w:pStyle w:val="Normal"/>
      </w:pPr>
      <w:r>
        <w:rPr>
          <w:b/>
          <w:color w:val="0F766E"/>
        </w:rPr>
        <w:t xml:space="preserve">5.  </w:t>
      </w:r>
      <w:r>
        <w:t xml:space="preserve">After all candidates are captured, apply the impression's outcomes to future state.</w:t>
      </w:r>
    </w:p>
    <w:p>
      <w:pPr>
        <w:pStyle w:val="Normal"/>
      </w:pPr>
      <w:r>
        <w:t xml:space="preserve">Examples of bounded causal predicates include:</w:t>
      </w:r>
    </w:p>
    <w:p>
      <w:pPr>
        <w:pStyle w:val="Code"/>
        <w:ind w:left="360" w:right="180"/>
        <w:spacing w:before="80" w:after="0"/>
        <w:shd w:val="clear" w:color="auto" w:fill="F1F5F9"/>
      </w:pPr>
      <w:r>
        <w:rPr>
          <w:sz w:val="18"/>
          <w:szCs w:val="18"/>
          <w:rFonts w:ascii="DejaVu Sans Mono" w:hAnsi="DejaVu Sans Mono"/>
        </w:rPr>
        <w:t xml:space="preserve">(topic case_42 "news")</w:t>
      </w:r>
    </w:p>
    <w:p>
      <w:pPr>
        <w:pStyle w:val="Code"/>
        <w:ind w:left="360" w:right="180"/>
        <w:spacing w:before="0" w:after="0"/>
        <w:shd w:val="clear" w:color="auto" w:fill="F1F5F9"/>
      </w:pPr>
      <w:r>
        <w:rPr>
          <w:sz w:val="18"/>
          <w:szCs w:val="18"/>
          <w:rFonts w:ascii="DejaVu Sans Mono" w:hAnsi="DejaVu Sans Mono"/>
        </w:rPr>
        <w:t xml:space="preserve">(recent_affinity case_42 "high")</w:t>
      </w:r>
    </w:p>
    <w:p>
      <w:pPr>
        <w:pStyle w:val="Code"/>
        <w:ind w:left="360" w:right="180"/>
        <w:spacing w:before="0" w:after="0"/>
        <w:shd w:val="clear" w:color="auto" w:fill="F1F5F9"/>
      </w:pPr>
      <w:r>
        <w:rPr>
          <w:sz w:val="18"/>
          <w:szCs w:val="18"/>
          <w:rFonts w:ascii="DejaVu Sans Mono" w:hAnsi="DejaVu Sans Mono"/>
        </w:rPr>
        <w:t xml:space="preserve">(long_affinity case_42 "medium")</w:t>
      </w:r>
    </w:p>
    <w:p>
      <w:pPr>
        <w:pStyle w:val="Code"/>
        <w:ind w:left="360" w:right="180"/>
        <w:spacing w:before="0" w:after="0"/>
        <w:shd w:val="clear" w:color="auto" w:fill="F1F5F9"/>
      </w:pPr>
      <w:r>
        <w:rPr>
          <w:sz w:val="18"/>
          <w:szCs w:val="18"/>
          <w:rFonts w:ascii="DejaVu Sans Mono" w:hAnsi="DejaVu Sans Mono"/>
        </w:rPr>
        <w:t xml:space="preserve">(entity_overlap_detail case_42 "two")</w:t>
      </w:r>
    </w:p>
    <w:p>
      <w:pPr>
        <w:pStyle w:val="Code"/>
        <w:ind w:left="360" w:right="180"/>
        <w:spacing w:before="0" w:after="0"/>
        <w:shd w:val="clear" w:color="auto" w:fill="F1F5F9"/>
      </w:pPr>
      <w:r>
        <w:rPr>
          <w:sz w:val="18"/>
          <w:szCs w:val="18"/>
          <w:rFonts w:ascii="DejaVu Sans Mono" w:hAnsi="DejaVu Sans Mono"/>
        </w:rPr>
        <w:t xml:space="preserve">(history_size case_42 "regular")</w:t>
      </w:r>
    </w:p>
    <w:p>
      <w:pPr>
        <w:pStyle w:val="Code"/>
        <w:ind w:left="360" w:right="180"/>
        <w:spacing w:before="0" w:after="80"/>
        <w:shd w:val="clear" w:color="auto" w:fill="F1F5F9"/>
      </w:pPr>
      <w:r>
        <w:rPr>
          <w:sz w:val="18"/>
          <w:szCs w:val="18"/>
          <w:rFonts w:ascii="DejaVu Sans Mono" w:hAnsi="DejaVu Sans Mono"/>
        </w:rPr>
        <w:t xml:space="preserve">(engagement case_42 "click")</w:t>
      </w:r>
    </w:p>
    <w:p>
      <w:pPr>
        <w:pStyle w:val="Normal"/>
      </w:pPr>
      <w:r>
        <w:t xml:space="preserve">Continuous observations must not be passed to an equality-based miner as arbitrary numbers. Fit quantile or supervised interval boundaries on training data only, serialize the boundaries with the model, and convert values to bounded symbols. Missing evidence remains an explicit abstention or incomparable value; it is not silently converted to zero.</w:t>
      </w:r>
    </w:p>
    <w:p>
      <w:pPr>
        <w:pStyle w:val="Heading1"/>
        <w:keepNext/>
      </w:pPr>
      <w:r>
        <w:t xml:space="preserve">5. Content semantics, embeddings and language extraction</w:t>
      </w:r>
    </w:p>
    <w:p>
      <w:pPr>
        <w:pStyle w:val="Normal"/>
      </w:pPr>
      <w:r>
        <w:t xml:space="preserve">Content understanding is an ingestion function. Each article is parsed and embedded once per content version, then cached. A language model or semantic parser may describe actors, events, concepts, intent, audience, stance and story continuity, but it must not receive engagement labels or generate preference rules. A frozen embedding may measure semantic relations, but it must not directly rank candidates.</w:t>
      </w:r>
    </w:p>
    <w:p>
      <w:pPr>
        <w:pStyle w:val="Code"/>
        <w:ind w:left="360" w:right="180"/>
        <w:spacing w:before="80" w:after="0"/>
        <w:shd w:val="clear" w:color="auto" w:fill="F1F5F9"/>
      </w:pPr>
      <w:r>
        <w:rPr>
          <w:sz w:val="18"/>
          <w:szCs w:val="18"/>
          <w:rFonts w:ascii="DejaVu Sans Mono" w:hAnsi="DejaVu Sans Mono"/>
        </w:rPr>
        <w:t xml:space="preserve">raw article text</w:t>
      </w:r>
    </w:p>
    <w:p>
      <w:pPr>
        <w:pStyle w:val="Code"/>
        <w:ind w:left="360" w:right="180"/>
        <w:spacing w:before="0" w:after="0"/>
        <w:shd w:val="clear" w:color="auto" w:fill="F1F5F9"/>
      </w:pPr>
      <w:r>
        <w:rPr>
          <w:sz w:val="18"/>
          <w:szCs w:val="18"/>
          <w:rFonts w:ascii="DejaVu Sans Mono" w:hAnsi="DejaVu Sans Mono"/>
        </w:rPr>
        <w:t xml:space="preserve">    -&gt; versioned semantic extraction + frozen embedding</w:t>
      </w:r>
    </w:p>
    <w:p>
      <w:pPr>
        <w:pStyle w:val="Code"/>
        <w:ind w:left="360" w:right="180"/>
        <w:spacing w:before="0" w:after="0"/>
        <w:shd w:val="clear" w:color="auto" w:fill="F1F5F9"/>
      </w:pPr>
      <w:r>
        <w:rPr>
          <w:sz w:val="18"/>
          <w:szCs w:val="18"/>
          <w:rFonts w:ascii="DejaVu Sans Mono" w:hAnsi="DejaVu Sans Mono"/>
        </w:rPr>
        <w:t xml:space="preserve">    -&gt; allowlisted article observations with provenance</w:t>
      </w:r>
    </w:p>
    <w:p>
      <w:pPr>
        <w:pStyle w:val="Code"/>
        <w:ind w:left="360" w:right="180"/>
        <w:spacing w:before="0" w:after="0"/>
        <w:shd w:val="clear" w:color="auto" w:fill="F1F5F9"/>
      </w:pPr>
      <w:r>
        <w:rPr>
          <w:sz w:val="18"/>
          <w:szCs w:val="18"/>
          <w:rFonts w:ascii="DejaVu Sans Mono" w:hAnsi="DejaVu Sans Mono"/>
        </w:rPr>
        <w:t xml:space="preserve">    -&gt; candidate/history comparisons</w:t>
      </w:r>
    </w:p>
    <w:p>
      <w:pPr>
        <w:pStyle w:val="Code"/>
        <w:ind w:left="360" w:right="180"/>
        <w:spacing w:before="0" w:after="80"/>
        <w:shd w:val="clear" w:color="auto" w:fill="F1F5F9"/>
      </w:pPr>
      <w:r>
        <w:rPr>
          <w:sz w:val="18"/>
          <w:szCs w:val="18"/>
          <w:rFonts w:ascii="DejaVu Sans Mono" w:hAnsi="DejaVu Sans Mono"/>
        </w:rPr>
        <w:t xml:space="preserve">    -&gt; categorical facts for fpMiner and PeTTaChainer</w:t>
      </w:r>
    </w:p>
    <w:p>
      <w:pPr>
        <w:pStyle w:val="Normal"/>
      </w:pPr>
      <w:r>
        <w:t xml:space="preserve">For unit vectors e(a) and e(h), semantic similarity is cosine similarity:</w:t>
      </w:r>
    </w:p>
    <w:p>
      <w:pPr>
        <w:pStyle w:val="Quote"/>
      </w:pPr>
      <w:r>
        <w:t xml:space="preserve">sim(a,h) = e(a) · e(h) / (||e(a)|| ||e(h)||)</w:t>
      </w:r>
    </w:p>
    <w:p>
      <w:pPr>
        <w:pStyle w:val="Normal"/>
      </w:pPr>
      <w:r>
        <w:t xml:space="preserve">Useful symbolic projections keep behavioral channels distinct:</w:t>
      </w:r>
    </w:p>
    <w:p>
      <w:pPr>
        <w:pStyle w:val="Code"/>
        <w:ind w:left="360" w:right="180"/>
        <w:spacing w:before="80" w:after="0"/>
        <w:shd w:val="clear" w:color="auto" w:fill="F1F5F9"/>
      </w:pPr>
      <w:r>
        <w:rPr>
          <w:sz w:val="18"/>
          <w:szCs w:val="18"/>
          <w:rFonts w:ascii="DejaVu Sans Mono" w:hAnsi="DejaVu Sans Mono"/>
        </w:rPr>
        <w:t xml:space="preserve">(positive_semantic_match case_42 "very_high")</w:t>
      </w:r>
    </w:p>
    <w:p>
      <w:pPr>
        <w:pStyle w:val="Code"/>
        <w:ind w:left="360" w:right="180"/>
        <w:spacing w:before="0" w:after="0"/>
        <w:shd w:val="clear" w:color="auto" w:fill="F1F5F9"/>
      </w:pPr>
      <w:r>
        <w:rPr>
          <w:sz w:val="18"/>
          <w:szCs w:val="18"/>
          <w:rFonts w:ascii="DejaVu Sans Mono" w:hAnsi="DejaVu Sans Mono"/>
        </w:rPr>
        <w:t xml:space="preserve">(negative_semantic_match case_42 "low")</w:t>
      </w:r>
    </w:p>
    <w:p>
      <w:pPr>
        <w:pStyle w:val="Code"/>
        <w:ind w:left="360" w:right="180"/>
        <w:spacing w:before="0" w:after="0"/>
        <w:shd w:val="clear" w:color="auto" w:fill="F1F5F9"/>
      </w:pPr>
      <w:r>
        <w:rPr>
          <w:sz w:val="18"/>
          <w:szCs w:val="18"/>
          <w:rFonts w:ascii="DejaVu Sans Mono" w:hAnsi="DejaVu Sans Mono"/>
        </w:rPr>
        <w:t xml:space="preserve">(recent_semantic_match case_42 "high")</w:t>
      </w:r>
    </w:p>
    <w:p>
      <w:pPr>
        <w:pStyle w:val="Code"/>
        <w:ind w:left="360" w:right="180"/>
        <w:spacing w:before="0" w:after="0"/>
        <w:shd w:val="clear" w:color="auto" w:fill="F1F5F9"/>
      </w:pPr>
      <w:r>
        <w:rPr>
          <w:sz w:val="18"/>
          <w:szCs w:val="18"/>
          <w:rFonts w:ascii="DejaVu Sans Mono" w:hAnsi="DejaVu Sans Mono"/>
        </w:rPr>
        <w:t xml:space="preserve">(semantic_novelty case_42 "medium")</w:t>
      </w:r>
    </w:p>
    <w:p>
      <w:pPr>
        <w:pStyle w:val="Code"/>
        <w:ind w:left="360" w:right="180"/>
        <w:spacing w:before="0" w:after="80"/>
        <w:shd w:val="clear" w:color="auto" w:fill="F1F5F9"/>
      </w:pPr>
      <w:r>
        <w:rPr>
          <w:sz w:val="18"/>
          <w:szCs w:val="18"/>
          <w:rFonts w:ascii="DejaVu Sans Mono" w:hAnsi="DejaVu Sans Mono"/>
        </w:rPr>
        <w:t xml:space="preserve">(concept_affinity case_42 "upper_quantile")</w:t>
      </w:r>
    </w:p>
    <w:tbl>
      <w:tblPr>
        <w:tblW w:w="0" w:type="auto"/>
        <w:tblCellMar>
          <w:top w:w="120" w:type="dxa"/>
          <w:left w:w="180" w:type="dxa"/>
          <w:bottom w:w="120" w:type="dxa"/>
          <w:right w:w="180" w:type="dxa"/>
        </w:tblCellMar>
      </w:tblPr>
      <w:tblGrid>
        <w:gridCol w:w="9000"/>
      </w:tblGrid>
      <w:tr>
        <w:tc>
          <w:tcPr>
            <w:shd w:val="clear" w:fill="F5F3FF"/>
            <w:tcBorders>
              <w:left w:val="single" w:sz="18" w:color="7C3AED"/>
              <w:top w:val="nil"/>
              <w:bottom w:val="nil"/>
              <w:right w:val="nil"/>
            </w:tcBorders>
          </w:tcPr>
          <w:p>
            <w:pPr>
              <w:spacing w:after="60"/>
            </w:pPr>
            <w:r>
              <w:rPr>
                <w:b/>
                <w:color w:val="7C3AED"/>
              </w:rPr>
              <w:t xml:space="preserve">Neural boundary</w:t>
            </w:r>
          </w:p>
          <w:p>
            <w:pPr>
              <w:spacing w:after="0"/>
            </w:pPr>
            <w:r>
              <w:t xml:space="preserve">A pretrained embedding or language model is permitted as frozen evidence creation. No neural recommender is fitted. fpMiner discovers behavioral rules and PeTTaChainer must prove the preference used by ranking.</w:t>
            </w:r>
          </w:p>
        </w:tc>
      </w:tr>
    </w:tbl>
    <w:p>
      <w:pPr>
        <w:spacing w:after="80"/>
      </w:pPr>
    </w:p>
    <w:p>
      <w:pPr>
        <w:pStyle w:val="Heading1"/>
        <w:keepNext/>
      </w:pPr>
      <w:r>
        <w:t xml:space="preserve">6. Mining workspaces</w:t>
      </w:r>
    </w:p>
    <w:p>
      <w:pPr>
        <w:pStyle w:val="Heading2"/>
        <w:keepNext/>
      </w:pPr>
      <w:r>
        <w:t xml:space="preserve">6.1 Point workspace</w:t>
      </w:r>
    </w:p>
    <w:p>
      <w:pPr>
        <w:pStyle w:val="Normal"/>
      </w:pPr>
      <w:r>
        <w:t xml:space="preserve">A point case represents one exposed candidate under one pre-impression user state. Mining facts are plain observations without proof wrappers or asserted truth values.</w:t>
      </w:r>
    </w:p>
    <w:p>
      <w:pPr>
        <w:pStyle w:val="Code"/>
        <w:ind w:left="360" w:right="180"/>
        <w:spacing w:before="80" w:after="0"/>
        <w:shd w:val="clear" w:color="auto" w:fill="F1F5F9"/>
      </w:pPr>
      <w:r>
        <w:rPr>
          <w:sz w:val="18"/>
          <w:szCs w:val="18"/>
          <w:rFonts w:ascii="DejaVu Sans Mono" w:hAnsi="DejaVu Sans Mono"/>
        </w:rPr>
        <w:t xml:space="preserve">(topic point_case_42 "news")</w:t>
      </w:r>
    </w:p>
    <w:p>
      <w:pPr>
        <w:pStyle w:val="Code"/>
        <w:ind w:left="360" w:right="180"/>
        <w:spacing w:before="0" w:after="0"/>
        <w:shd w:val="clear" w:color="auto" w:fill="F1F5F9"/>
      </w:pPr>
      <w:r>
        <w:rPr>
          <w:sz w:val="18"/>
          <w:szCs w:val="18"/>
          <w:rFonts w:ascii="DejaVu Sans Mono" w:hAnsi="DejaVu Sans Mono"/>
        </w:rPr>
        <w:t xml:space="preserve">(recent_affinity point_case_42 "high")</w:t>
      </w:r>
    </w:p>
    <w:p>
      <w:pPr>
        <w:pStyle w:val="Code"/>
        <w:ind w:left="360" w:right="180"/>
        <w:spacing w:before="0" w:after="0"/>
        <w:shd w:val="clear" w:color="auto" w:fill="F1F5F9"/>
      </w:pPr>
      <w:r>
        <w:rPr>
          <w:sz w:val="18"/>
          <w:szCs w:val="18"/>
          <w:rFonts w:ascii="DejaVu Sans Mono" w:hAnsi="DejaVu Sans Mono"/>
        </w:rPr>
        <w:t xml:space="preserve">(semantic_match point_case_42 "very_high")</w:t>
      </w:r>
    </w:p>
    <w:p>
      <w:pPr>
        <w:pStyle w:val="Code"/>
        <w:ind w:left="360" w:right="180"/>
        <w:spacing w:before="0" w:after="80"/>
        <w:shd w:val="clear" w:color="auto" w:fill="F1F5F9"/>
      </w:pPr>
      <w:r>
        <w:rPr>
          <w:sz w:val="18"/>
          <w:szCs w:val="18"/>
          <w:rFonts w:ascii="DejaVu Sans Mono" w:hAnsi="DejaVu Sans Mono"/>
        </w:rPr>
        <w:t xml:space="preserve">(engagement point_case_42 "click")</w:t>
      </w:r>
    </w:p>
    <w:p>
      <w:pPr>
        <w:pStyle w:val="Heading2"/>
        <w:keepNext/>
      </w:pPr>
      <w:r>
        <w:t xml:space="preserve">6.2 Pair workspace</w:t>
      </w:r>
    </w:p>
    <w:p>
      <w:pPr>
        <w:pStyle w:val="Normal"/>
      </w:pPr>
      <w:r>
        <w:t xml:space="preserve">A pair case compares two candidates from the same impression. 'Left' means only the first argument of an ordered pair. For every clicked p and exposed non-clicked n, create both orientations so side placement cannot become a shortcut.</w:t>
      </w:r>
    </w:p>
    <w:p>
      <w:pPr>
        <w:pStyle w:val="Code"/>
        <w:ind w:left="360" w:right="180"/>
        <w:spacing w:before="80" w:after="0"/>
        <w:shd w:val="clear" w:color="auto" w:fill="F1F5F9"/>
      </w:pPr>
      <w:r>
        <w:rPr>
          <w:sz w:val="18"/>
          <w:szCs w:val="18"/>
          <w:rFonts w:ascii="DejaVu Sans Mono" w:hAnsi="DejaVu Sans Mono"/>
        </w:rPr>
        <w:t xml:space="preserve">(pair_semantic_match pair_p_n "left")</w:t>
      </w:r>
    </w:p>
    <w:p>
      <w:pPr>
        <w:pStyle w:val="Code"/>
        <w:ind w:left="360" w:right="180"/>
        <w:spacing w:before="0" w:after="0"/>
        <w:shd w:val="clear" w:color="auto" w:fill="F1F5F9"/>
      </w:pPr>
      <w:r>
        <w:rPr>
          <w:sz w:val="18"/>
          <w:szCs w:val="18"/>
          <w:rFonts w:ascii="DejaVu Sans Mono" w:hAnsi="DejaVu Sans Mono"/>
        </w:rPr>
        <w:t xml:space="preserve">(pair_long_affinity pair_p_n "left")</w:t>
      </w:r>
    </w:p>
    <w:p>
      <w:pPr>
        <w:pStyle w:val="Code"/>
        <w:ind w:left="360" w:right="180"/>
        <w:spacing w:before="0" w:after="0"/>
        <w:shd w:val="clear" w:color="auto" w:fill="F1F5F9"/>
      </w:pPr>
      <w:r>
        <w:rPr>
          <w:sz w:val="18"/>
          <w:szCs w:val="18"/>
          <w:rFonts w:ascii="DejaVu Sans Mono" w:hAnsi="DejaVu Sans Mono"/>
        </w:rPr>
        <w:t xml:space="preserve">(pair_same_topic pair_p_n "different")</w:t>
      </w:r>
    </w:p>
    <w:p>
      <w:pPr>
        <w:pStyle w:val="Code"/>
        <w:ind w:left="360" w:right="180"/>
        <w:spacing w:before="0" w:after="0"/>
        <w:shd w:val="clear" w:color="auto" w:fill="F1F5F9"/>
      </w:pPr>
      <w:r>
        <w:rPr>
          <w:sz w:val="18"/>
          <w:szCs w:val="18"/>
          <w:rFonts w:ascii="DejaVu Sans Mono" w:hAnsi="DejaVu Sans Mono"/>
        </w:rPr>
        <w:t xml:space="preserve">(engagement pair_p_n "click")</w:t>
      </w:r>
    </w:p>
    <w:p>
      <w:pPr>
        <w:pStyle w:val="Code"/>
        <w:ind w:left="360" w:right="180"/>
        <w:spacing w:before="0" w:after="0"/>
        <w:shd w:val="clear" w:color="auto" w:fill="F1F5F9"/>
      </w:pPr>
      <w:r>
        <w:rPr>
          <w:sz w:val="18"/>
          <w:szCs w:val="18"/>
          <w:rFonts w:ascii="DejaVu Sans Mono" w:hAnsi="DejaVu Sans Mono"/>
        </w:rPr>
        <w:t xml:space="preserve"/>
      </w:r>
    </w:p>
    <w:p>
      <w:pPr>
        <w:pStyle w:val="Code"/>
        <w:ind w:left="360" w:right="180"/>
        <w:spacing w:before="0" w:after="0"/>
        <w:shd w:val="clear" w:color="auto" w:fill="F1F5F9"/>
      </w:pPr>
      <w:r>
        <w:rPr>
          <w:sz w:val="18"/>
          <w:szCs w:val="18"/>
          <w:rFonts w:ascii="DejaVu Sans Mono" w:hAnsi="DejaVu Sans Mono"/>
        </w:rPr>
        <w:t xml:space="preserve">(pair_semantic_match pair_n_p "right")</w:t>
      </w:r>
    </w:p>
    <w:p>
      <w:pPr>
        <w:pStyle w:val="Code"/>
        <w:ind w:left="360" w:right="180"/>
        <w:spacing w:before="0" w:after="0"/>
        <w:shd w:val="clear" w:color="auto" w:fill="F1F5F9"/>
      </w:pPr>
      <w:r>
        <w:rPr>
          <w:sz w:val="18"/>
          <w:szCs w:val="18"/>
          <w:rFonts w:ascii="DejaVu Sans Mono" w:hAnsi="DejaVu Sans Mono"/>
        </w:rPr>
        <w:t xml:space="preserve">(pair_long_affinity pair_n_p "right")</w:t>
      </w:r>
    </w:p>
    <w:p>
      <w:pPr>
        <w:pStyle w:val="Code"/>
        <w:ind w:left="360" w:right="180"/>
        <w:spacing w:before="0" w:after="0"/>
        <w:shd w:val="clear" w:color="auto" w:fill="F1F5F9"/>
      </w:pPr>
      <w:r>
        <w:rPr>
          <w:sz w:val="18"/>
          <w:szCs w:val="18"/>
          <w:rFonts w:ascii="DejaVu Sans Mono" w:hAnsi="DejaVu Sans Mono"/>
        </w:rPr>
        <w:t xml:space="preserve">(pair_same_topic pair_n_p "different")</w:t>
      </w:r>
    </w:p>
    <w:p>
      <w:pPr>
        <w:pStyle w:val="Code"/>
        <w:ind w:left="360" w:right="180"/>
        <w:spacing w:before="0" w:after="80"/>
        <w:shd w:val="clear" w:color="auto" w:fill="F1F5F9"/>
      </w:pPr>
      <w:r>
        <w:rPr>
          <w:sz w:val="18"/>
          <w:szCs w:val="18"/>
          <w:rFonts w:ascii="DejaVu Sans Mono" w:hAnsi="DejaVu Sans Mono"/>
        </w:rPr>
        <w:t xml:space="preserve">(engagement pair_n_p "skip")</w:t>
      </w:r>
    </w:p>
    <w:p>
      <w:pPr>
        <w:pStyle w:val="Normal"/>
      </w:pPr>
      <w:r>
        <w:t xml:space="preserve">The pair target is conditional on a logged impression containing at least one clicked and one exposed non-clicked article. It asks which side contains the clicked item. It is not an absolute click probability or a universal preference probability between arbitrary articles; applying it to a serving window is a transfer assumption that requires held-out and online validation.</w:t>
      </w:r>
    </w:p>
    <w:p>
      <w:pPr>
        <w:pStyle w:val="Normal"/>
      </w:pPr>
      <w:r>
        <w:t xml:space="preserve">Discovery may retain all positives and a deterministic hash-priority subset of negatives per positive. The sample reduces combinatorial search only. Every retained rule must later have its CTV re-estimated against the complete closed training population.</w:t>
      </w:r>
    </w:p>
    <w:p>
      <w:pPr>
        <w:pStyle w:val="Heading2"/>
        <w:keepNext/>
      </w:pPr>
      <w:r>
        <w:t xml:space="preserve">6.3 Serving workspace</w:t>
      </w:r>
    </w:p>
    <w:p>
      <w:pPr>
        <w:pStyle w:val="Normal"/>
      </w:pPr>
      <w:r>
        <w:t xml:space="preserve">The serving AtomSpace is isolated from mining and contains only one coherent model version:</w:t>
      </w:r>
    </w:p>
    <w:p>
      <w:pPr>
        <w:pStyle w:val="Normal"/>
        <w:ind w:left="360" w:hanging="240"/>
        <w:spacing w:after="70"/>
      </w:pPr>
      <w:r>
        <w:t xml:space="preserve">•  Selected point and pair implication rules with full-training CTV estimates.</w:t>
      </w:r>
    </w:p>
    <w:p>
      <w:pPr>
        <w:pStyle w:val="Normal"/>
        <w:ind w:left="360" w:hanging="240"/>
        <w:spacing w:after="70"/>
      </w:pPr>
      <w:r>
        <w:t xml:space="preserve">•  One-way bridge and decision rules, with inversion disabled when reverse inference is semantically invalid.</w:t>
      </w:r>
    </w:p>
    <w:p>
      <w:pPr>
        <w:pStyle w:val="Normal"/>
        <w:ind w:left="360" w:hanging="240"/>
        <w:spacing w:after="70"/>
      </w:pPr>
      <w:r>
        <w:t xml:space="preserve">•  One single-producer PointSignal channel per mined point rule for complete weighted proof retrieval; shared Engagement revision remains only for max/hybrid modes.</w:t>
      </w:r>
    </w:p>
    <w:p>
      <w:pPr>
        <w:pStyle w:val="Normal"/>
        <w:ind w:left="360" w:hanging="240"/>
        <w:spacing w:after="70"/>
      </w:pPr>
      <w:r>
        <w:t xml:space="preserve">•  Named, grounded facts for current candidates and candidate pairs.</w:t>
      </w:r>
    </w:p>
    <w:p>
      <w:pPr>
        <w:pStyle w:val="Normal"/>
        <w:ind w:left="360" w:hanging="240"/>
        <w:spacing w:after="70"/>
      </w:pPr>
      <w:r>
        <w:t xml:space="preserve">•  Proof caches scoped to model version and fact signature.</w:t>
      </w:r>
    </w:p>
    <w:p>
      <w:pPr>
        <w:pStyle w:val="Normal"/>
        <w:ind w:left="360" w:hanging="240"/>
        <w:spacing w:after="70"/>
      </w:pPr>
      <w:r>
        <w:t xml:space="preserve">•  Finite, separate serving and benchmark scorer-RPC deadlines; expiry retires and reconstructs the worker from acknowledged state without replaying the failed operation.</w:t>
      </w:r>
    </w:p>
    <w:p>
      <w:pPr>
        <w:pStyle w:val="Normal"/>
        <w:ind w:left="360" w:hanging="240"/>
        <w:spacing w:after="70"/>
      </w:pPr>
      <w:r>
        <w:t xml:space="preserve">•  Fail-closed recovery journal: at most 50,000 acknowledged mutations and 250,000 statements after replacement.</w:t>
      </w:r>
    </w:p>
    <w:p>
      <w:pPr>
        <w:pStyle w:val="Normal"/>
        <w:ind w:left="360" w:hanging="240"/>
        <w:spacing w:after="70"/>
      </w:pPr>
      <w:r>
        <w:t xml:space="preserve">•  Fail-closed fact/proof/margin caches: 250,000 entries per guarded collection by default, with a 1,000,000 hard configuration ceiling.</w:t>
      </w:r>
    </w:p>
    <w:p>
      <w:pPr>
        <w:pStyle w:val="Code"/>
        <w:ind w:left="360" w:right="180"/>
        <w:spacing w:before="80" w:after="0"/>
        <w:shd w:val="clear" w:color="auto" w:fill="F1F5F9"/>
      </w:pPr>
      <w:r>
        <w:rPr>
          <w:sz w:val="18"/>
          <w:szCs w:val="18"/>
          <w:rFonts w:ascii="DejaVu Sans Mono" w:hAnsi="DejaVu Sans Mono"/>
        </w:rPr>
        <w:t xml:space="preserve">(: fact_candidate_a_topic</w:t>
      </w:r>
    </w:p>
    <w:p>
      <w:pPr>
        <w:pStyle w:val="Code"/>
        <w:ind w:left="360" w:right="180"/>
        <w:spacing w:before="0" w:after="0"/>
        <w:shd w:val="clear" w:color="auto" w:fill="F1F5F9"/>
      </w:pPr>
      <w:r>
        <w:rPr>
          <w:sz w:val="18"/>
          <w:szCs w:val="18"/>
          <w:rFonts w:ascii="DejaVu Sans Mono" w:hAnsi="DejaVu Sans Mono"/>
        </w:rPr>
        <w:t xml:space="preserve">   (Topic candidate_a "news")</w:t>
      </w:r>
    </w:p>
    <w:p>
      <w:pPr>
        <w:pStyle w:val="Code"/>
        <w:ind w:left="360" w:right="180"/>
        <w:spacing w:before="0" w:after="0"/>
        <w:shd w:val="clear" w:color="auto" w:fill="F1F5F9"/>
      </w:pPr>
      <w:r>
        <w:rPr>
          <w:sz w:val="18"/>
          <w:szCs w:val="18"/>
          <w:rFonts w:ascii="DejaVu Sans Mono" w:hAnsi="DejaVu Sans Mono"/>
        </w:rPr>
        <w:t xml:space="preserve">   (STV 1.0 1.0))</w:t>
      </w:r>
    </w:p>
    <w:p>
      <w:pPr>
        <w:pStyle w:val="Code"/>
        <w:ind w:left="360" w:right="180"/>
        <w:spacing w:before="0" w:after="0"/>
        <w:shd w:val="clear" w:color="auto" w:fill="F1F5F9"/>
      </w:pPr>
      <w:r>
        <w:rPr>
          <w:sz w:val="18"/>
          <w:szCs w:val="18"/>
          <w:rFonts w:ascii="DejaVu Sans Mono" w:hAnsi="DejaVu Sans Mono"/>
        </w:rPr>
        <w:t xml:space="preserve"/>
      </w:r>
    </w:p>
    <w:p>
      <w:pPr>
        <w:pStyle w:val="Code"/>
        <w:ind w:left="360" w:right="180"/>
        <w:spacing w:before="0" w:after="0"/>
        <w:shd w:val="clear" w:color="auto" w:fill="F1F5F9"/>
      </w:pPr>
      <w:r>
        <w:rPr>
          <w:sz w:val="18"/>
          <w:szCs w:val="18"/>
          <w:rFonts w:ascii="DejaVu Sans Mono" w:hAnsi="DejaVu Sans Mono"/>
        </w:rPr>
        <w:t xml:space="preserve">(: mined_rule_26</w:t>
      </w:r>
    </w:p>
    <w:p>
      <w:pPr>
        <w:pStyle w:val="Code"/>
        <w:ind w:left="360" w:right="180"/>
        <w:spacing w:before="0" w:after="0"/>
        <w:shd w:val="clear" w:color="auto" w:fill="F1F5F9"/>
      </w:pPr>
      <w:r>
        <w:rPr>
          <w:sz w:val="18"/>
          <w:szCs w:val="18"/>
          <w:rFonts w:ascii="DejaVu Sans Mono" w:hAnsi="DejaVu Sans Mono"/>
        </w:rPr>
        <w:t xml:space="preserve">   (Implication</w:t>
      </w:r>
    </w:p>
    <w:p>
      <w:pPr>
        <w:pStyle w:val="Code"/>
        <w:ind w:left="360" w:right="180"/>
        <w:spacing w:before="0" w:after="0"/>
        <w:shd w:val="clear" w:color="auto" w:fill="F1F5F9"/>
      </w:pPr>
      <w:r>
        <w:rPr>
          <w:sz w:val="18"/>
          <w:szCs w:val="18"/>
          <w:rFonts w:ascii="DejaVu Sans Mono" w:hAnsi="DejaVu Sans Mono"/>
        </w:rPr>
        <w:t xml:space="preserve">      (Topic $case "news")</w:t>
      </w:r>
    </w:p>
    <w:p>
      <w:pPr>
        <w:pStyle w:val="Code"/>
        <w:ind w:left="360" w:right="180"/>
        <w:spacing w:before="0" w:after="0"/>
        <w:shd w:val="clear" w:color="auto" w:fill="F1F5F9"/>
      </w:pPr>
      <w:r>
        <w:rPr>
          <w:sz w:val="18"/>
          <w:szCs w:val="18"/>
          <w:rFonts w:ascii="DejaVu Sans Mono" w:hAnsi="DejaVu Sans Mono"/>
        </w:rPr>
        <w:t xml:space="preserve">      (Engagement $case "click"))</w:t>
      </w:r>
    </w:p>
    <w:p>
      <w:pPr>
        <w:pStyle w:val="Code"/>
        <w:ind w:left="360" w:right="180"/>
        <w:spacing w:before="0" w:after="80"/>
        <w:shd w:val="clear" w:color="auto" w:fill="F1F5F9"/>
      </w:pPr>
      <w:r>
        <w:rPr>
          <w:sz w:val="18"/>
          <w:szCs w:val="18"/>
          <w:rFonts w:ascii="DejaVu Sans Mono" w:hAnsi="DejaVu Sans Mono"/>
        </w:rPr>
        <w:t xml:space="preserve">   (CTV (STV s_pos c_pos) (STV s_neg c_neg)))</w:t>
      </w:r>
    </w:p>
    <w:p>
      <w:pPr>
        <w:pStyle w:val="Normal"/>
      </w:pPr>
      <w:r>
        <w:t xml:space="preserve">The fact STV says that the grounded observation is known under its declared extraction formula. Predictive uncertainty belongs to the rule CTV, not the metadata fact.</w:t>
      </w:r>
    </w:p>
    <w:p>
      <w:pPr>
        <w:pStyle w:val="Normal"/>
      </w:pPr>
      <w:r>
        <w:t xml:space="preserve">The isolated point channels correct a bounded-search completeness problem in the earlier shared-goal query shape. A finite Engagement search could return a valid revision representative before visiting every applicable mined rule, so an all-rule direct reconstruction differed even when individual rule/STV semantics agreed. Weighted mode now host-prunes only categorically impossible roots, requires PeTTaChainer to prove every expected active PointSignal, and fails closed if one is missing.</w:t>
      </w:r>
    </w:p>
    <w:p>
      <w:pPr>
        <w:pStyle w:val="Heading1"/>
        <w:keepNext/>
      </w:pPr>
      <w:r>
        <w:t xml:space="preserve">7. Structure discovery</w:t>
      </w:r>
    </w:p>
    <w:p>
      <w:pPr>
        <w:pStyle w:val="Normal"/>
      </w:pPr>
      <w:r>
        <w:t xml:space="preserve">Discovery is the bounded search for premise structures that may predict a target. The real MeTTa frequency-pattern-miner must enumerate supported point and pair patterns. Discovery CTVs are diagnostic because sampling changes class prevalence.</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3500"/>
        <w:gridCol w:w="3600"/>
      </w:tblGrid>
      <w:tr>
        <w:trPr>
          <w:tblHeader/>
        </w:trPr>
        <w:tc>
          <w:tcPr>
            <w:tcW w:w="1900" w:type="dxa"/>
            <w:shd w:val="clear" w:fill="0F766E"/>
            <w:tcMar>
              <w:top w:w="80" w:type="dxa"/>
              <w:left w:w="100" w:type="dxa"/>
              <w:bottom w:w="80" w:type="dxa"/>
              <w:right w:w="100" w:type="dxa"/>
            </w:tcMar>
          </w:tcPr>
          <w:p>
            <w:pPr>
              <w:pStyle w:val="TableText"/>
              <w:spacing w:after="70"/>
            </w:pPr>
            <w:r>
              <w:rPr>
                <w:b/>
                <w:color w:val="FFFFFF"/>
                <w:sz w:val="19"/>
                <w:szCs w:val="19"/>
              </w:rPr>
              <w:t xml:space="preserve">Parameter</w:t>
            </w:r>
          </w:p>
        </w:tc>
        <w:tc>
          <w:tcPr>
            <w:tcW w:w="3500" w:type="dxa"/>
            <w:shd w:val="clear" w:fill="0F766E"/>
            <w:tcMar>
              <w:top w:w="80" w:type="dxa"/>
              <w:left w:w="100" w:type="dxa"/>
              <w:bottom w:w="80" w:type="dxa"/>
              <w:right w:w="100" w:type="dxa"/>
            </w:tcMar>
          </w:tcPr>
          <w:p>
            <w:pPr>
              <w:pStyle w:val="TableText"/>
              <w:spacing w:after="70"/>
            </w:pPr>
            <w:r>
              <w:rPr>
                <w:b/>
                <w:color w:val="FFFFFF"/>
                <w:sz w:val="19"/>
                <w:szCs w:val="19"/>
              </w:rPr>
              <w:t xml:space="preserve">Meaning</w:t>
            </w:r>
          </w:p>
        </w:tc>
        <w:tc>
          <w:tcPr>
            <w:tcW w:w="3600" w:type="dxa"/>
            <w:shd w:val="clear" w:fill="0F766E"/>
            <w:tcMar>
              <w:top w:w="80" w:type="dxa"/>
              <w:left w:w="100" w:type="dxa"/>
              <w:bottom w:w="80" w:type="dxa"/>
              <w:right w:w="100" w:type="dxa"/>
            </w:tcMar>
          </w:tcPr>
          <w:p>
            <w:pPr>
              <w:pStyle w:val="TableText"/>
              <w:spacing w:after="70"/>
            </w:pPr>
            <w:r>
              <w:rPr>
                <w:b/>
                <w:color w:val="FFFFFF"/>
                <w:sz w:val="19"/>
                <w:szCs w:val="19"/>
              </w:rPr>
              <w:t xml:space="preserve">Accuracy caution</w:t>
            </w:r>
          </w:p>
        </w:tc>
      </w:tr>
      <w:tr>
        <w:tc>
          <w:tcPr>
            <w:tcW w:w="1900" w:type="dxa"/>
            <w:shd w:val="clear" w:fill="FFFFFF"/>
            <w:tcMar>
              <w:top w:w="80" w:type="dxa"/>
              <w:left w:w="100" w:type="dxa"/>
              <w:bottom w:w="80" w:type="dxa"/>
              <w:right w:w="100" w:type="dxa"/>
            </w:tcMar>
          </w:tcPr>
          <w:p>
            <w:pPr>
              <w:pStyle w:val="TableText"/>
              <w:spacing w:after="70"/>
            </w:pPr>
            <w:r>
              <w:rPr>
                <w:color w:val="172033"/>
                <w:sz w:val="19"/>
                <w:szCs w:val="19"/>
              </w:rPr>
              <w:t xml:space="preserve">minimum support</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Minimum joint target support required to retain a structure.</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Removes rare patterns, not frequent but irrelevant premises.</w:t>
            </w:r>
          </w:p>
        </w:tc>
      </w:tr>
      <w:tr>
        <w:tc>
          <w:tcPr>
            <w:tcW w:w="1900" w:type="dxa"/>
            <w:shd w:val="clear" w:fill="F8FAFC"/>
            <w:tcMar>
              <w:top w:w="80" w:type="dxa"/>
              <w:left w:w="100" w:type="dxa"/>
              <w:bottom w:w="80" w:type="dxa"/>
              <w:right w:w="100" w:type="dxa"/>
            </w:tcMar>
          </w:tcPr>
          <w:p>
            <w:pPr>
              <w:pStyle w:val="TableText"/>
              <w:spacing w:after="70"/>
            </w:pPr>
            <w:r>
              <w:rPr>
                <w:color w:val="172033"/>
                <w:sz w:val="19"/>
                <w:szCs w:val="19"/>
              </w:rPr>
              <w:t xml:space="preserve">conjunction depth</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Number of premise atoms plus the target under the miner's depth convention.</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Deeper patterns increase sparsity and multiple testing; depth alone does not improve AUC.</w:t>
            </w:r>
          </w:p>
        </w:tc>
      </w:tr>
      <w:tr>
        <w:tc>
          <w:tcPr>
            <w:tcW w:w="1900" w:type="dxa"/>
            <w:shd w:val="clear" w:fill="FFFFFF"/>
            <w:tcMar>
              <w:top w:w="80" w:type="dxa"/>
              <w:left w:w="100" w:type="dxa"/>
              <w:bottom w:w="80" w:type="dxa"/>
              <w:right w:w="100" w:type="dxa"/>
            </w:tcMar>
          </w:tcPr>
          <w:p>
            <w:pPr>
              <w:pStyle w:val="TableText"/>
              <w:spacing w:after="70"/>
            </w:pPr>
            <w:r>
              <w:rPr>
                <w:color w:val="172033"/>
                <w:sz w:val="19"/>
                <w:szCs w:val="19"/>
              </w:rPr>
              <w:t xml:space="preserve">negative ratio</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Maximum discovery negatives per positive within an impression.</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Must not define final CTV probabilities.</w:t>
            </w:r>
          </w:p>
        </w:tc>
      </w:tr>
      <w:tr>
        <w:tc>
          <w:tcPr>
            <w:tcW w:w="1900" w:type="dxa"/>
            <w:shd w:val="clear" w:fill="F8FAFC"/>
            <w:tcMar>
              <w:top w:w="80" w:type="dxa"/>
              <w:left w:w="100" w:type="dxa"/>
              <w:bottom w:w="80" w:type="dxa"/>
              <w:right w:w="100" w:type="dxa"/>
            </w:tcMar>
          </w:tcPr>
          <w:p>
            <w:pPr>
              <w:pStyle w:val="TableText"/>
              <w:spacing w:after="70"/>
            </w:pPr>
            <w:r>
              <w:rPr>
                <w:color w:val="172033"/>
                <w:sz w:val="19"/>
                <w:szCs w:val="19"/>
              </w:rPr>
              <w:t xml:space="preserve">rule budget</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Maximum selected structures after quality and stability gates.</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Large budgets can let correlated variants displace robust evidence.</w:t>
            </w:r>
          </w:p>
        </w:tc>
      </w:tr>
    </w:tbl>
    <w:p>
      <w:pPr>
        <w:spacing w:after="100"/>
      </w:pPr>
    </w:p>
    <w:p>
      <w:pPr>
        <w:pStyle w:val="Normal"/>
      </w:pPr>
      <w:r>
        <w:t xml:space="preserve">Target-aware conjunction expansion should begin from miner-discovered parents and accept a child only if it adds positive effect over every immediate parent, has adequate support, remains directionally stable across chronological folds, and owns a declared dependency lineage. Otherwise, correlated conjunctions merely repeat existing evidence.</w:t>
      </w:r>
    </w:p>
    <w:p>
      <w:pPr>
        <w:pStyle w:val="Heading1"/>
        <w:keepNext/>
      </w:pPr>
      <w:r>
        <w:t xml:space="preserve">8. Full-training CTV estimation and truth semantics</w:t>
      </w:r>
    </w:p>
    <w:p>
      <w:pPr>
        <w:pStyle w:val="Normal"/>
      </w:pPr>
      <w:r>
        <w:t xml:space="preserve">For target Y and antecedent A, retain sufficient statistics over the complete causal training population:</w:t>
      </w:r>
    </w:p>
    <w:p>
      <w:pPr>
        <w:pStyle w:val="Quote"/>
      </w:pPr>
      <w:r>
        <w:t xml:space="preserve">nAY = count(A ∧ Y),  nA = count(A),  nY = count(Y),  N = applicable cases</w:t>
      </w:r>
    </w:p>
    <w:p>
      <w:pPr>
        <w:pStyle w:val="Normal"/>
      </w:pPr>
      <w:r>
        <w:t xml:space="preserve">The two CTV strengths are:</w:t>
      </w:r>
    </w:p>
    <w:p>
      <w:pPr>
        <w:pStyle w:val="Quote"/>
      </w:pPr>
      <w:r>
        <w:t xml:space="preserve">s+ = nAY / nA</w:t>
      </w:r>
    </w:p>
    <w:p>
      <w:pPr>
        <w:pStyle w:val="Quote"/>
      </w:pPr>
      <w:r>
        <w:t xml:space="preserve">s− = (nY − nAY) / (N − nA)</w:t>
      </w:r>
    </w:p>
    <w:p>
      <w:pPr>
        <w:pStyle w:val="Normal"/>
      </w:pPr>
      <w:r>
        <w:t xml:space="preserve">At the PeTTa boundary, effective support n_eff is encoded with PeTTa's fixed evidence constant 800:</w:t>
      </w:r>
    </w:p>
    <w:p>
      <w:pPr>
        <w:pStyle w:val="Quote"/>
      </w:pPr>
      <w:r>
        <w:t xml:space="preserve">c_PeTTa = n_eff / (n_eff + 800)</w:t>
      </w:r>
    </w:p>
    <w:p>
      <w:pPr>
        <w:pStyle w:val="Normal"/>
      </w:pPr>
      <w:r>
        <w:t xml:space="preserve">When rows within one slate are dependent, normalize every impression to total mass one and calculate Kish effective impression support: n_eff = (Σw)² / Σw². This prevents a slate with one hundred candidates from carrying the weight of many independent users.</w:t>
      </w:r>
    </w:p>
    <w:p>
      <w:pPr>
        <w:pStyle w:val="Normal"/>
      </w:pPr>
      <w:r>
        <w:t xml:space="preserve">A separately configurable pair-rule selection constant may calculate r_select = n_eff / (n_eff + K_select) for host-side candidate retention. It is a reliability weight, not a PeTTa truth-value confidence. Coverage and applicability are also retained separately and never multiplied into c_PeTTa. The legacy pair_ctv_evidence_k name is only a compatibility alias for K_select.</w:t>
      </w:r>
    </w:p>
    <w:p>
      <w:pPr>
        <w:pStyle w:val="Normal"/>
      </w:pPr>
      <w:r>
        <w:t xml:space="preserve">PeTTaChainer propagates the supplied conditional evidence. A representative forward strength is:</w:t>
      </w:r>
    </w:p>
    <w:p>
      <w:pPr>
        <w:pStyle w:val="Quote"/>
      </w:pPr>
      <w:r>
        <w:t xml:space="preserve">S(Y) = s+ S(A) + s− (1 − S(A))</w:t>
      </w:r>
    </w:p>
    <w:tbl>
      <w:tblPr>
        <w:tblW w:w="0" w:type="auto"/>
        <w:tblCellMar>
          <w:top w:w="120" w:type="dxa"/>
          <w:left w:w="180" w:type="dxa"/>
          <w:bottom w:w="120" w:type="dxa"/>
          <w:right w:w="180" w:type="dxa"/>
        </w:tblCellMar>
      </w:tblPr>
      <w:tblGrid>
        <w:gridCol w:w="9000"/>
      </w:tblGrid>
      <w:tr>
        <w:tc>
          <w:tcPr>
            <w:shd w:val="clear" w:fill="FFFBEB"/>
            <w:tcBorders>
              <w:left w:val="single" w:sz="18" w:color="B45309"/>
              <w:top w:val="nil"/>
              <w:bottom w:val="nil"/>
              <w:right w:val="nil"/>
            </w:tcBorders>
          </w:tcPr>
          <w:p>
            <w:pPr>
              <w:spacing w:after="60"/>
            </w:pPr>
            <w:r>
              <w:rPr>
                <w:b/>
                <w:color w:val="B45309"/>
              </w:rPr>
              <w:t xml:space="preserve">Estimation placement</w:t>
            </w:r>
          </w:p>
          <w:p>
            <w:pPr>
              <w:spacing w:after="0"/>
            </w:pPr>
            <w:r>
              <w:t xml:space="preserve">The measured system performs an in-sample full-training recount and CTV estimation with audited typed arithmetic, then emits the result back into MeTTa. This is not held-out probability calibration. A stricter replication may implement the same counting, effective-support and CTV formulas in MeTTa, but parity tests are required. Moving equivalent arithmetic does not itself increase AUC.</w:t>
            </w:r>
          </w:p>
        </w:tc>
      </w:tr>
    </w:tbl>
    <w:p>
      <w:pPr>
        <w:spacing w:after="80"/>
      </w:pPr>
    </w:p>
    <w:p>
      <w:pPr>
        <w:pStyle w:val="Heading1"/>
        <w:keepNext/>
      </w:pPr>
      <w:r>
        <w:t xml:space="preserve">9. Dependency-safe proof ranking</w:t>
      </w:r>
    </w:p>
    <w:p>
      <w:pPr>
        <w:pStyle w:val="Normal"/>
      </w:pPr>
      <w:r>
        <w:t xml:space="preserve">Each candidate pair is grounded in both directions. PeTTaChainer returns proof STVs for isolated rule channels. For root STV (s,c), shrink toward the neutral pair probability and optionally transform to a margin:</w:t>
      </w:r>
    </w:p>
    <w:p>
      <w:pPr>
        <w:pStyle w:val="Quote"/>
      </w:pPr>
      <w:r>
        <w:t xml:space="preserve">q = 0.5 + c(s − 0.5)</w:t>
      </w:r>
    </w:p>
    <w:p>
      <w:pPr>
        <w:pStyle w:val="Quote"/>
      </w:pPr>
      <w:r>
        <w:t xml:space="preserve">margin = log(q / (1 − q))</w:t>
      </w:r>
    </w:p>
    <w:p>
      <w:pPr>
        <w:pStyle w:val="Normal"/>
      </w:pPr>
      <w:r>
        <w:t xml:space="preserve">Rules derived from the same article text, entity family or history statistic are dependent alternatives. Keep at most one margin per dependency for a pair. Then aggregate dependency margins into structured and semantic families, calculate within-family midranks, and average active family ranks. This prevents ten correlated descriptions of one text from overpowering one independent behavioral fact.</w:t>
      </w:r>
    </w:p>
    <w:p>
      <w:pPr>
        <w:pStyle w:val="Normal"/>
        <w:ind w:left="360" w:hanging="240"/>
        <w:spacing w:after="70"/>
      </w:pPr>
      <w:r>
        <w:t xml:space="preserve">•  PeTTaChainer decides whether a grounded rule fires and supplies its uncertain truth value.</w:t>
      </w:r>
    </w:p>
    <w:p>
      <w:pPr>
        <w:pStyle w:val="Normal"/>
        <w:ind w:left="360" w:hanging="240"/>
        <w:spacing w:after="70"/>
      </w:pPr>
      <w:r>
        <w:t xml:space="preserve">•  Dependency control prevents evidence multiplication.</w:t>
      </w:r>
    </w:p>
    <w:p>
      <w:pPr>
        <w:pStyle w:val="Normal"/>
        <w:ind w:left="360" w:hanging="240"/>
        <w:spacing w:after="70"/>
      </w:pPr>
      <w:r>
        <w:t xml:space="preserve">•  The current host performs tournament accumulation; the target all-MeTTa design represents this reduction explicitly in MeTTa.</w:t>
      </w:r>
    </w:p>
    <w:p>
      <w:pPr>
        <w:pStyle w:val="Normal"/>
        <w:ind w:left="360" w:hanging="240"/>
        <w:spacing w:after="70"/>
      </w:pPr>
      <w:r>
        <w:t xml:space="preserve">•  If no proof fires, the evidence remains neutral; no hidden recommender supplies a replacement score.</w:t>
      </w:r>
    </w:p>
    <w:p>
      <w:pPr>
        <w:pStyle w:val="Heading1"/>
        <w:keepNext/>
      </w:pPr>
      <w:r>
        <w:t xml:space="preserve">10. Global, cohort and personal evidence</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500"/>
        <w:gridCol w:w="3400"/>
        <w:gridCol w:w="4100"/>
      </w:tblGrid>
      <w:tr>
        <w:trPr>
          <w:tblHeader/>
        </w:trPr>
        <w:tc>
          <w:tcPr>
            <w:tcW w:w="1500" w:type="dxa"/>
            <w:shd w:val="clear" w:fill="0F766E"/>
            <w:tcMar>
              <w:top w:w="80" w:type="dxa"/>
              <w:left w:w="100" w:type="dxa"/>
              <w:bottom w:w="80" w:type="dxa"/>
              <w:right w:w="100" w:type="dxa"/>
            </w:tcMar>
          </w:tcPr>
          <w:p>
            <w:pPr>
              <w:pStyle w:val="TableText"/>
              <w:spacing w:after="70"/>
            </w:pPr>
            <w:r>
              <w:rPr>
                <w:b/>
                <w:color w:val="FFFFFF"/>
                <w:sz w:val="19"/>
                <w:szCs w:val="19"/>
              </w:rPr>
              <w:t xml:space="preserve">Scope</w:t>
            </w:r>
          </w:p>
        </w:tc>
        <w:tc>
          <w:tcPr>
            <w:tcW w:w="3400" w:type="dxa"/>
            <w:shd w:val="clear" w:fill="0F766E"/>
            <w:tcMar>
              <w:top w:w="80" w:type="dxa"/>
              <w:left w:w="100" w:type="dxa"/>
              <w:bottom w:w="80" w:type="dxa"/>
              <w:right w:w="100" w:type="dxa"/>
            </w:tcMar>
          </w:tcPr>
          <w:p>
            <w:pPr>
              <w:pStyle w:val="TableText"/>
              <w:spacing w:after="70"/>
            </w:pPr>
            <w:r>
              <w:rPr>
                <w:b/>
                <w:color w:val="FFFFFF"/>
                <w:sz w:val="19"/>
                <w:szCs w:val="19"/>
              </w:rPr>
              <w:t xml:space="preserve">Purpose</w:t>
            </w:r>
          </w:p>
        </w:tc>
        <w:tc>
          <w:tcPr>
            <w:tcW w:w="4100" w:type="dxa"/>
            <w:shd w:val="clear" w:fill="0F766E"/>
            <w:tcMar>
              <w:top w:w="80" w:type="dxa"/>
              <w:left w:w="100" w:type="dxa"/>
              <w:bottom w:w="80" w:type="dxa"/>
              <w:right w:w="100" w:type="dxa"/>
            </w:tcMar>
          </w:tcPr>
          <w:p>
            <w:pPr>
              <w:pStyle w:val="TableText"/>
              <w:spacing w:after="70"/>
            </w:pPr>
            <w:r>
              <w:rPr>
                <w:b/>
                <w:color w:val="FFFFFF"/>
                <w:sz w:val="19"/>
                <w:szCs w:val="19"/>
              </w:rPr>
              <w:t xml:space="preserve">Eligibility and combination</w:t>
            </w:r>
          </w:p>
        </w:tc>
      </w:tr>
      <w:tr>
        <w:tc>
          <w:tcPr>
            <w:tcW w:w="1500" w:type="dxa"/>
            <w:shd w:val="clear" w:fill="FFFFFF"/>
            <w:tcMar>
              <w:top w:w="80" w:type="dxa"/>
              <w:left w:w="100" w:type="dxa"/>
              <w:bottom w:w="80" w:type="dxa"/>
              <w:right w:w="100" w:type="dxa"/>
            </w:tcMar>
          </w:tcPr>
          <w:p>
            <w:pPr>
              <w:pStyle w:val="TableText"/>
              <w:spacing w:after="70"/>
            </w:pPr>
            <w:r>
              <w:rPr>
                <w:color w:val="172033"/>
                <w:sz w:val="19"/>
                <w:szCs w:val="19"/>
              </w:rPr>
              <w:t xml:space="preserve">Global</w:t>
            </w:r>
          </w:p>
        </w:tc>
        <w:tc>
          <w:tcPr>
            <w:tcW w:w="3400" w:type="dxa"/>
            <w:shd w:val="clear" w:fill="FFFFFF"/>
            <w:tcMar>
              <w:top w:w="80" w:type="dxa"/>
              <w:left w:w="100" w:type="dxa"/>
              <w:bottom w:w="80" w:type="dxa"/>
              <w:right w:w="100" w:type="dxa"/>
            </w:tcMar>
          </w:tcPr>
          <w:p>
            <w:pPr>
              <w:pStyle w:val="TableText"/>
              <w:spacing w:after="70"/>
            </w:pPr>
            <w:r>
              <w:rPr>
                <w:color w:val="172033"/>
                <w:sz w:val="19"/>
                <w:szCs w:val="19"/>
              </w:rPr>
              <w:t xml:space="preserve">Cold start and broad behavioral regularities.</w:t>
            </w:r>
          </w:p>
        </w:tc>
        <w:tc>
          <w:tcPr>
            <w:tcW w:w="4100" w:type="dxa"/>
            <w:shd w:val="clear" w:fill="FFFFFF"/>
            <w:tcMar>
              <w:top w:w="80" w:type="dxa"/>
              <w:left w:w="100" w:type="dxa"/>
              <w:bottom w:w="80" w:type="dxa"/>
              <w:right w:w="100" w:type="dxa"/>
            </w:tcMar>
          </w:tcPr>
          <w:p>
            <w:pPr>
              <w:pStyle w:val="TableText"/>
              <w:spacing w:after="70"/>
            </w:pPr>
            <w:r>
              <w:rPr>
                <w:color w:val="172033"/>
                <w:sz w:val="19"/>
                <w:szCs w:val="19"/>
              </w:rPr>
              <w:t xml:space="preserve">Learn from the complete eligible population; always available as backoff.</w:t>
            </w:r>
          </w:p>
        </w:tc>
      </w:tr>
      <w:tr>
        <w:tc>
          <w:tcPr>
            <w:tcW w:w="1500" w:type="dxa"/>
            <w:shd w:val="clear" w:fill="F8FAFC"/>
            <w:tcMar>
              <w:top w:w="80" w:type="dxa"/>
              <w:left w:w="100" w:type="dxa"/>
              <w:bottom w:w="80" w:type="dxa"/>
              <w:right w:w="100" w:type="dxa"/>
            </w:tcMar>
          </w:tcPr>
          <w:p>
            <w:pPr>
              <w:pStyle w:val="TableText"/>
              <w:spacing w:after="70"/>
            </w:pPr>
            <w:r>
              <w:rPr>
                <w:color w:val="172033"/>
                <w:sz w:val="19"/>
                <w:szCs w:val="19"/>
              </w:rPr>
              <w:t xml:space="preserve">Cohort</w:t>
            </w:r>
          </w:p>
        </w:tc>
        <w:tc>
          <w:tcPr>
            <w:tcW w:w="3400" w:type="dxa"/>
            <w:shd w:val="clear" w:fill="F8FAFC"/>
            <w:tcMar>
              <w:top w:w="80" w:type="dxa"/>
              <w:left w:w="100" w:type="dxa"/>
              <w:bottom w:w="80" w:type="dxa"/>
              <w:right w:w="100" w:type="dxa"/>
            </w:tcMar>
          </w:tcPr>
          <w:p>
            <w:pPr>
              <w:pStyle w:val="TableText"/>
              <w:spacing w:after="70"/>
            </w:pPr>
            <w:r>
              <w:rPr>
                <w:color w:val="172033"/>
                <w:sz w:val="19"/>
                <w:szCs w:val="19"/>
              </w:rPr>
              <w:t xml:space="preserve">Stable context such as language, region, semantic interest or history maturity.</w:t>
            </w:r>
          </w:p>
        </w:tc>
        <w:tc>
          <w:tcPr>
            <w:tcW w:w="4100" w:type="dxa"/>
            <w:shd w:val="clear" w:fill="F8FAFC"/>
            <w:tcMar>
              <w:top w:w="80" w:type="dxa"/>
              <w:left w:w="100" w:type="dxa"/>
              <w:bottom w:w="80" w:type="dxa"/>
              <w:right w:w="100" w:type="dxa"/>
            </w:tcMar>
          </w:tcPr>
          <w:p>
            <w:pPr>
              <w:pStyle w:val="TableText"/>
              <w:spacing w:after="70"/>
            </w:pPr>
            <w:r>
              <w:rPr>
                <w:color w:val="172033"/>
                <w:sz w:val="19"/>
                <w:szCs w:val="19"/>
              </w:rPr>
              <w:t xml:space="preserve">Require adequate independent impressions and out-of-time stability; shrink to global.</w:t>
            </w:r>
          </w:p>
        </w:tc>
      </w:tr>
      <w:tr>
        <w:tc>
          <w:tcPr>
            <w:tcW w:w="1500" w:type="dxa"/>
            <w:shd w:val="clear" w:fill="FFFFFF"/>
            <w:tcMar>
              <w:top w:w="80" w:type="dxa"/>
              <w:left w:w="100" w:type="dxa"/>
              <w:bottom w:w="80" w:type="dxa"/>
              <w:right w:w="100" w:type="dxa"/>
            </w:tcMar>
          </w:tcPr>
          <w:p>
            <w:pPr>
              <w:pStyle w:val="TableText"/>
              <w:spacing w:after="70"/>
            </w:pPr>
            <w:r>
              <w:rPr>
                <w:color w:val="172033"/>
                <w:sz w:val="19"/>
                <w:szCs w:val="19"/>
              </w:rPr>
              <w:t xml:space="preserve">Personal</w:t>
            </w:r>
          </w:p>
        </w:tc>
        <w:tc>
          <w:tcPr>
            <w:tcW w:w="3400" w:type="dxa"/>
            <w:shd w:val="clear" w:fill="FFFFFF"/>
            <w:tcMar>
              <w:top w:w="80" w:type="dxa"/>
              <w:left w:w="100" w:type="dxa"/>
              <w:bottom w:w="80" w:type="dxa"/>
              <w:right w:w="100" w:type="dxa"/>
            </w:tcMar>
          </w:tcPr>
          <w:p>
            <w:pPr>
              <w:pStyle w:val="TableText"/>
              <w:spacing w:after="70"/>
            </w:pPr>
            <w:r>
              <w:rPr>
                <w:color w:val="172033"/>
                <w:sz w:val="19"/>
                <w:szCs w:val="19"/>
              </w:rPr>
              <w:t xml:space="preserve">User-specific recurring preference after enough evidence.</w:t>
            </w:r>
          </w:p>
        </w:tc>
        <w:tc>
          <w:tcPr>
            <w:tcW w:w="4100" w:type="dxa"/>
            <w:shd w:val="clear" w:fill="FFFFFF"/>
            <w:tcMar>
              <w:top w:w="80" w:type="dxa"/>
              <w:left w:w="100" w:type="dxa"/>
              <w:bottom w:w="80" w:type="dxa"/>
              <w:right w:w="100" w:type="dxa"/>
            </w:tcMar>
          </w:tcPr>
          <w:p>
            <w:pPr>
              <w:pStyle w:val="TableText"/>
              <w:spacing w:after="70"/>
            </w:pPr>
            <w:r>
              <w:rPr>
                <w:color w:val="172033"/>
                <w:sz w:val="19"/>
                <w:szCs w:val="19"/>
              </w:rPr>
              <w:t xml:space="preserve">Use immediate private facts first; mine rules only after support and privacy thresholds; shrink to cohort/global.</w:t>
            </w:r>
          </w:p>
        </w:tc>
      </w:tr>
    </w:tbl>
    <w:p>
      <w:pPr>
        <w:spacing w:after="100"/>
      </w:pPr>
    </w:p>
    <w:p>
      <w:pPr>
        <w:pStyle w:val="Normal"/>
      </w:pPr>
      <w:r>
        <w:t xml:space="preserve">For a personal estimate p̂u based on n_u effective impressions and parent estimate p_parent:</w:t>
      </w:r>
    </w:p>
    <w:p>
      <w:pPr>
        <w:pStyle w:val="Quote"/>
      </w:pPr>
      <w:r>
        <w:t xml:space="preserve">p_u = (n_u p̂u + λ p_parent) / (n_u + λ)</w:t>
      </w:r>
    </w:p>
    <w:p>
      <w:pPr>
        <w:pStyle w:val="Normal"/>
      </w:pPr>
      <w:r>
        <w:t xml:space="preserve">Do not revise global, cohort and personal rules as independent evidence when they were trained on overlapping events. Use most-specific eligible backoff or learn each narrower rule as a residual correction to its parent. Every rule artifact must retain scope, provenance window, target, support unit and dependency owner.</w:t>
      </w:r>
    </w:p>
    <w:tbl>
      <w:tblPr>
        <w:tblW w:w="0" w:type="auto"/>
        <w:tblCellMar>
          <w:top w:w="120" w:type="dxa"/>
          <w:left w:w="180" w:type="dxa"/>
          <w:bottom w:w="120" w:type="dxa"/>
          <w:right w:w="180" w:type="dxa"/>
        </w:tblCellMar>
      </w:tblPr>
      <w:tblGrid>
        <w:gridCol w:w="9000"/>
      </w:tblGrid>
      <w:tr>
        <w:tc>
          <w:tcPr>
            <w:shd w:val="clear" w:fill="FFFBEB"/>
            <w:tcBorders>
              <w:left w:val="single" w:sz="18" w:color="B45309"/>
              <w:top w:val="nil"/>
              <w:bottom w:val="nil"/>
              <w:right w:val="nil"/>
            </w:tcBorders>
          </w:tcPr>
          <w:p>
            <w:pPr>
              <w:spacing w:after="60"/>
            </w:pPr>
            <w:r>
              <w:rPr>
                <w:b/>
                <w:color w:val="B45309"/>
              </w:rPr>
              <w:t xml:space="preserve">Current versus target</w:t>
            </w:r>
          </w:p>
          <w:p>
            <w:pPr>
              <w:spacing w:after="0"/>
            </w:pPr>
            <w:r>
              <w:t xml:space="preserve">The benchmarked implementation has global learned rules plus private live user facts and bounded feedback policies. Cohort and learned personal rule artifacts are an agreed target architecture and are not part of the reported AUC.</w:t>
            </w:r>
          </w:p>
        </w:tc>
      </w:tr>
    </w:tbl>
    <w:p>
      <w:pPr>
        <w:spacing w:after="80"/>
      </w:pPr>
    </w:p>
    <w:p>
      <w:pPr>
        <w:pStyle w:val="Heading1"/>
        <w:keepNext/>
      </w:pPr>
      <w:r>
        <w:t xml:space="preserve">11. Real-time interaction protocol</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100"/>
        <w:gridCol w:w="4700"/>
        <w:gridCol w:w="2200"/>
      </w:tblGrid>
      <w:tr>
        <w:trPr>
          <w:tblHeader/>
        </w:trPr>
        <w:tc>
          <w:tcPr>
            <w:tcW w:w="2100" w:type="dxa"/>
            <w:shd w:val="clear" w:fill="0F766E"/>
            <w:tcMar>
              <w:top w:w="80" w:type="dxa"/>
              <w:left w:w="100" w:type="dxa"/>
              <w:bottom w:w="80" w:type="dxa"/>
              <w:right w:w="100" w:type="dxa"/>
            </w:tcMar>
          </w:tcPr>
          <w:p>
            <w:pPr>
              <w:pStyle w:val="TableText"/>
              <w:spacing w:after="70"/>
            </w:pPr>
            <w:r>
              <w:rPr>
                <w:b/>
                <w:color w:val="FFFFFF"/>
                <w:sz w:val="19"/>
                <w:szCs w:val="19"/>
              </w:rPr>
              <w:t xml:space="preserve">Cadence</w:t>
            </w:r>
          </w:p>
        </w:tc>
        <w:tc>
          <w:tcPr>
            <w:tcW w:w="4700" w:type="dxa"/>
            <w:shd w:val="clear" w:fill="0F766E"/>
            <w:tcMar>
              <w:top w:w="80" w:type="dxa"/>
              <w:left w:w="100" w:type="dxa"/>
              <w:bottom w:w="80" w:type="dxa"/>
              <w:right w:w="100" w:type="dxa"/>
            </w:tcMar>
          </w:tcPr>
          <w:p>
            <w:pPr>
              <w:pStyle w:val="TableText"/>
              <w:spacing w:after="70"/>
            </w:pPr>
            <w:r>
              <w:rPr>
                <w:b/>
                <w:color w:val="FFFFFF"/>
                <w:sz w:val="19"/>
                <w:szCs w:val="19"/>
              </w:rPr>
              <w:t xml:space="preserve">Action</w:t>
            </w:r>
          </w:p>
        </w:tc>
        <w:tc>
          <w:tcPr>
            <w:tcW w:w="2200" w:type="dxa"/>
            <w:shd w:val="clear" w:fill="0F766E"/>
            <w:tcMar>
              <w:top w:w="80" w:type="dxa"/>
              <w:left w:w="100" w:type="dxa"/>
              <w:bottom w:w="80" w:type="dxa"/>
              <w:right w:w="100" w:type="dxa"/>
            </w:tcMar>
          </w:tcPr>
          <w:p>
            <w:pPr>
              <w:pStyle w:val="TableText"/>
              <w:spacing w:after="70"/>
            </w:pPr>
            <w:r>
              <w:rPr>
                <w:b/>
                <w:color w:val="FFFFFF"/>
                <w:sz w:val="19"/>
                <w:szCs w:val="19"/>
              </w:rPr>
              <w:t xml:space="preserve">Visible effect</w:t>
            </w:r>
          </w:p>
        </w:tc>
      </w:tr>
      <w:tr>
        <w:tc>
          <w:tcPr>
            <w:tcW w:w="2100" w:type="dxa"/>
            <w:shd w:val="clear" w:fill="FFFFFF"/>
            <w:tcMar>
              <w:top w:w="80" w:type="dxa"/>
              <w:left w:w="100" w:type="dxa"/>
              <w:bottom w:w="80" w:type="dxa"/>
              <w:right w:w="100" w:type="dxa"/>
            </w:tcMar>
          </w:tcPr>
          <w:p>
            <w:pPr>
              <w:pStyle w:val="TableText"/>
              <w:spacing w:after="70"/>
            </w:pPr>
            <w:r>
              <w:rPr>
                <w:color w:val="172033"/>
                <w:sz w:val="19"/>
                <w:szCs w:val="19"/>
              </w:rPr>
              <w:t xml:space="preserve">Every interaction</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Validate ownership/idempotency; persist the outcome; update bounded private facts; re-ground and rerank unserved candidates.</w:t>
            </w:r>
          </w:p>
        </w:tc>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The active user's remaining feed changes immediately.</w:t>
            </w:r>
          </w:p>
        </w:tc>
      </w:tr>
      <w:tr>
        <w:tc>
          <w:tcPr>
            <w:tcW w:w="2100" w:type="dxa"/>
            <w:shd w:val="clear" w:fill="F8FAFC"/>
            <w:tcMar>
              <w:top w:w="80" w:type="dxa"/>
              <w:left w:w="100" w:type="dxa"/>
              <w:bottom w:w="80" w:type="dxa"/>
              <w:right w:w="100" w:type="dxa"/>
            </w:tcMar>
          </w:tcPr>
          <w:p>
            <w:pPr>
              <w:pStyle w:val="TableText"/>
              <w:spacing w:after="70"/>
            </w:pPr>
            <w:r>
              <w:rPr>
                <w:color w:val="172033"/>
                <w:sz w:val="19"/>
                <w:szCs w:val="19"/>
              </w:rPr>
              <w:t xml:space="preserve">Every N complete impressions or T minutes</w:t>
            </w:r>
          </w:p>
        </w:tc>
        <w:tc>
          <w:tcPr>
            <w:tcW w:w="4700" w:type="dxa"/>
            <w:shd w:val="clear" w:fill="F8FAFC"/>
            <w:tcMar>
              <w:top w:w="80" w:type="dxa"/>
              <w:left w:w="100" w:type="dxa"/>
              <w:bottom w:w="80" w:type="dxa"/>
              <w:right w:w="100" w:type="dxa"/>
            </w:tcMar>
          </w:tcPr>
          <w:p>
            <w:pPr>
              <w:pStyle w:val="TableText"/>
              <w:spacing w:after="70"/>
            </w:pPr>
            <w:r>
              <w:rPr>
                <w:color w:val="172033"/>
                <w:sz w:val="19"/>
                <w:szCs w:val="19"/>
              </w:rPr>
              <w:t xml:space="preserve">Seal an accumulated delta and schedule one asynchronous incremental mining build.</w:t>
            </w:r>
          </w:p>
        </w:tc>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No request waits for global mining; the old model continues serving.</w:t>
            </w:r>
          </w:p>
        </w:tc>
      </w:tr>
      <w:tr>
        <w:tc>
          <w:tcPr>
            <w:tcW w:w="2100" w:type="dxa"/>
            <w:shd w:val="clear" w:fill="FFFFFF"/>
            <w:tcMar>
              <w:top w:w="80" w:type="dxa"/>
              <w:left w:w="100" w:type="dxa"/>
              <w:bottom w:w="80" w:type="dxa"/>
              <w:right w:w="100" w:type="dxa"/>
            </w:tcMar>
          </w:tcPr>
          <w:p>
            <w:pPr>
              <w:pStyle w:val="TableText"/>
              <w:spacing w:after="70"/>
            </w:pPr>
            <w:r>
              <w:rPr>
                <w:color w:val="172033"/>
                <w:sz w:val="19"/>
                <w:szCs w:val="19"/>
              </w:rPr>
              <w:t xml:space="preserve">Periodic/full gate</w:t>
            </w:r>
          </w:p>
        </w:tc>
        <w:tc>
          <w:tcPr>
            <w:tcW w:w="4700" w:type="dxa"/>
            <w:shd w:val="clear" w:fill="FFFFFF"/>
            <w:tcMar>
              <w:top w:w="80" w:type="dxa"/>
              <w:left w:w="100" w:type="dxa"/>
              <w:bottom w:w="80" w:type="dxa"/>
              <w:right w:w="100" w:type="dxa"/>
            </w:tcMar>
          </w:tcPr>
          <w:p>
            <w:pPr>
              <w:pStyle w:val="TableText"/>
              <w:spacing w:after="70"/>
            </w:pPr>
            <w:r>
              <w:rPr>
                <w:color w:val="172033"/>
                <w:sz w:val="19"/>
                <w:szCs w:val="19"/>
              </w:rPr>
              <w:t xml:space="preserve">Reconstruct the immutable population, re-estimate CTVs and validate; compile a fresh worker; atomically promote only a complete accepted version.</w:t>
            </w:r>
          </w:p>
        </w:tc>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All scorers switch coherently; failed or stale builds are discarded.</w:t>
            </w:r>
          </w:p>
        </w:tc>
      </w:tr>
    </w:tbl>
    <w:p>
      <w:pPr>
        <w:spacing w:after="100"/>
      </w:pPr>
    </w:p>
    <w:p>
      <w:pPr>
        <w:pStyle w:val="Heading2"/>
        <w:keepNext/>
      </w:pPr>
      <w:r>
        <w:t xml:space="preserve">11.1 Immediate feedback</w:t>
      </w:r>
    </w:p>
    <w:p>
      <w:pPr>
        <w:pStyle w:val="Normal"/>
      </w:pPr>
      <w:r>
        <w:t xml:space="preserve">An interaction does not mutate every global rule STV. It changes private user state and therefore the facts grounded for that user. A click may extend positive history; an explicit negative creates bounded negative-match evidence. The same frozen global rules then produce different proofs for the revised facts.</w:t>
      </w:r>
    </w:p>
    <w:p>
      <w:pPr>
        <w:pStyle w:val="Normal"/>
      </w:pPr>
      <w:r>
        <w:t xml:space="preserve">For a skip or explicit negative, remove or mark the acted card, preserve untouched visible cards, rerank the unserved queue, and fill the vacancy from the revised queue. Similar candidates may be demoted by exact, subcategory, topic or semantic-negative evidence; they must not all be deleted merely to make the interface appear dynamic.</w:t>
      </w:r>
    </w:p>
    <w:p>
      <w:pPr>
        <w:pStyle w:val="Heading2"/>
        <w:keepNext/>
      </w:pPr>
      <w:r>
        <w:t xml:space="preserve">11.2 Feed session consistency</w:t>
      </w:r>
    </w:p>
    <w:p>
      <w:pPr>
        <w:pStyle w:val="Normal"/>
        <w:ind w:left="360" w:hanging="240"/>
        <w:spacing w:after="70"/>
      </w:pPr>
      <w:r>
        <w:t xml:space="preserve">•  Bind every event to the session owner, emitted article, model version and queue revision.</w:t>
      </w:r>
    </w:p>
    <w:p>
      <w:pPr>
        <w:pStyle w:val="Normal"/>
        <w:ind w:left="360" w:hanging="240"/>
        <w:spacing w:after="70"/>
      </w:pPr>
      <w:r>
        <w:t xml:space="preserve">•  Use an idempotency key so retries cannot count twice.</w:t>
      </w:r>
    </w:p>
    <w:p>
      <w:pPr>
        <w:pStyle w:val="Normal"/>
        <w:ind w:left="360" w:hanging="240"/>
        <w:spacing w:after="70"/>
      </w:pPr>
      <w:r>
        <w:t xml:space="preserve">•  Record which cards were actually accepted/rendered before assigning passive negative outcomes.</w:t>
      </w:r>
    </w:p>
    <w:p>
      <w:pPr>
        <w:pStyle w:val="Normal"/>
        <w:ind w:left="360" w:hanging="240"/>
        <w:spacing w:after="70"/>
      </w:pPr>
      <w:r>
        <w:t xml:space="preserve">•  A stale continuation cursor must reset or reconcile; it must not silently consume a pre-feedback queue.</w:t>
      </w:r>
    </w:p>
    <w:p>
      <w:pPr>
        <w:pStyle w:val="Heading2"/>
        <w:keepNext/>
      </w:pPr>
      <w:r>
        <w:t xml:space="preserve">11.3 Candidate retrieval and pair-work boundary</w:t>
      </w:r>
    </w:p>
    <w:p>
      <w:pPr>
        <w:pStyle w:val="Normal"/>
      </w:pPr>
      <w:r>
        <w:t xml:space="preserve">The proof engine is a reranker, not a corpus retriever. A separate retrieval policy admits a finite candidate window before point and pair facts are grounded. The reranker cannot promote a relevant article that retrieval omitted, so retrieval recall must be measured independently from ranking AUC. In the measured prototype the source is a bounded loaded corpus, the admitted window is 40, five items are returned and the remaining unserved items are queued; this is not production Mindplex retrieval.</w:t>
      </w:r>
    </w:p>
    <w:p>
      <w:pPr>
        <w:pStyle w:val="Normal"/>
      </w:pPr>
      <w:r>
        <w:t xml:space="preserve">Exhaustive comparison costs W(W−1)/2 unordered pairs for a window of W candidates: 40 requires at most 780, while 500 would require 124,750. The implemented planner fails before grounding when a slate exceeds its configured unordered-pair budget (32,768 by default and as a hard configuration cap), unless the caller explicitly selects a smaller finite cyclic-opponent graph that also fits the same budget. Offline replay also stops before its accumulated collection exceeds 1,000,000 unordered comparisons by default (hard cap 5,000,000). A replication must version the candidate source, shortlist/window size, comparison budget, degradation policy and proof-query deadline. The implementation enforces a finite parent-process deadline per scorer RPC—separately configurable for serving and benchmark work—and reconstructs an expired worker from its last acknowledged rule/fact journal. The small sequential feedback sample remains a functional latency observation, not a concurrency result or production SLA.</w:t>
      </w:r>
    </w:p>
    <w:p>
      <w:pPr>
        <w:pStyle w:val="Heading1"/>
        <w:keepNext/>
      </w:pPr>
      <w:r>
        <w:t xml:space="preserve">12. Incremental delta mining</w:t>
      </w:r>
    </w:p>
    <w:p>
      <w:pPr>
        <w:pStyle w:val="Normal"/>
      </w:pPr>
      <w:r>
        <w:t xml:space="preserve">Maintain a persistent mining AtomSpace and sufficient-statistics cache for every deterministic plan: case kind, feature schema, target, conjunction depth, sampling policy and schema version. Stable case IDs are mandatory.</w:t>
      </w:r>
    </w:p>
    <w:p>
      <w:pPr>
        <w:pStyle w:val="Normal"/>
      </w:pPr>
      <w:r>
        <w:t xml:space="preserve">Bound this exact support-one cache with fail-closed resource limits. The reference implementation permits at most 250,000 patterns and 1,000,000 cases per deterministic plan and 512 cached plans per process; a staged build exceeding a limit is rejected before support state is committed, and successful promotion prunes plans outside the active snapshot. Patterns are never silently truncated.</w:t>
      </w:r>
    </w:p>
    <w:p>
      <w:pPr>
        <w:pStyle w:val="Normal"/>
      </w:pPr>
      <w:r>
        <w:t xml:space="preserve">Apply one dataset-agnostic retention policy before every mining stage: keep the newest suffix of complete causal units within 25,000 units and 250,000 source cases by default. Treat one source impression as atomic and a closed event without an impression as a singleton. Never split an impression or cherry-pick an older unit after a newer one does not fit; reject a snapshot if its newest unit alone exceeds the case limit. Record source, retained and expired unit/case counts and a retained-membership digest.</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3500"/>
        <w:gridCol w:w="3500"/>
      </w:tblGrid>
      <w:tr>
        <w:trPr>
          <w:tblHeader/>
        </w:trPr>
        <w:tc>
          <w:tcPr>
            <w:tcW w:w="1900" w:type="dxa"/>
            <w:shd w:val="clear" w:fill="0F766E"/>
            <w:tcMar>
              <w:top w:w="80" w:type="dxa"/>
              <w:left w:w="100" w:type="dxa"/>
              <w:bottom w:w="80" w:type="dxa"/>
              <w:right w:w="100" w:type="dxa"/>
            </w:tcMar>
          </w:tcPr>
          <w:p>
            <w:pPr>
              <w:pStyle w:val="TableText"/>
              <w:spacing w:after="70"/>
            </w:pPr>
            <w:r>
              <w:rPr>
                <w:b/>
                <w:color w:val="FFFFFF"/>
                <w:sz w:val="19"/>
                <w:szCs w:val="19"/>
              </w:rPr>
              <w:t xml:space="preserve">Transition</w:t>
            </w:r>
          </w:p>
        </w:tc>
        <w:tc>
          <w:tcPr>
            <w:tcW w:w="3500" w:type="dxa"/>
            <w:shd w:val="clear" w:fill="0F766E"/>
            <w:tcMar>
              <w:top w:w="80" w:type="dxa"/>
              <w:left w:w="100" w:type="dxa"/>
              <w:bottom w:w="80" w:type="dxa"/>
              <w:right w:w="100" w:type="dxa"/>
            </w:tcMar>
          </w:tcPr>
          <w:p>
            <w:pPr>
              <w:pStyle w:val="TableText"/>
              <w:spacing w:after="70"/>
            </w:pPr>
            <w:r>
              <w:rPr>
                <w:b/>
                <w:color w:val="FFFFFF"/>
                <w:sz w:val="19"/>
                <w:szCs w:val="19"/>
              </w:rPr>
              <w:t xml:space="preserve">AtomSpace action</w:t>
            </w:r>
          </w:p>
        </w:tc>
        <w:tc>
          <w:tcPr>
            <w:tcW w:w="3500" w:type="dxa"/>
            <w:shd w:val="clear" w:fill="0F766E"/>
            <w:tcMar>
              <w:top w:w="80" w:type="dxa"/>
              <w:left w:w="100" w:type="dxa"/>
              <w:bottom w:w="80" w:type="dxa"/>
              <w:right w:w="100" w:type="dxa"/>
            </w:tcMar>
          </w:tcPr>
          <w:p>
            <w:pPr>
              <w:pStyle w:val="TableText"/>
              <w:spacing w:after="70"/>
            </w:pPr>
            <w:r>
              <w:rPr>
                <w:b/>
                <w:color w:val="FFFFFF"/>
                <w:sz w:val="19"/>
                <w:szCs w:val="19"/>
              </w:rPr>
              <w:t xml:space="preserve">Miner action</w:t>
            </w:r>
          </w:p>
        </w:tc>
      </w:tr>
      <w:tr>
        <w:tc>
          <w:tcPr>
            <w:tcW w:w="1900" w:type="dxa"/>
            <w:shd w:val="clear" w:fill="FFFFFF"/>
            <w:tcMar>
              <w:top w:w="80" w:type="dxa"/>
              <w:left w:w="100" w:type="dxa"/>
              <w:bottom w:w="80" w:type="dxa"/>
              <w:right w:w="100" w:type="dxa"/>
            </w:tcMar>
          </w:tcPr>
          <w:p>
            <w:pPr>
              <w:pStyle w:val="TableText"/>
              <w:spacing w:after="70"/>
            </w:pPr>
            <w:r>
              <w:rPr>
                <w:color w:val="172033"/>
                <w:sz w:val="19"/>
                <w:szCs w:val="19"/>
              </w:rPr>
              <w:t xml:space="preserve">First plan use</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Create and populate the full plan space.</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Run click and skip discovery at support floor one.</w:t>
            </w:r>
          </w:p>
        </w:tc>
      </w:tr>
      <w:tr>
        <w:tc>
          <w:tcPr>
            <w:tcW w:w="1900" w:type="dxa"/>
            <w:shd w:val="clear" w:fill="F8FAFC"/>
            <w:tcMar>
              <w:top w:w="80" w:type="dxa"/>
              <w:left w:w="100" w:type="dxa"/>
              <w:bottom w:w="80" w:type="dxa"/>
              <w:right w:w="100" w:type="dxa"/>
            </w:tcMar>
          </w:tcPr>
          <w:p>
            <w:pPr>
              <w:pStyle w:val="TableText"/>
              <w:spacing w:after="70"/>
            </w:pPr>
            <w:r>
              <w:rPr>
                <w:color w:val="172033"/>
                <w:sz w:val="19"/>
                <w:szCs w:val="19"/>
              </w:rPr>
              <w:t xml:space="preserve">No case change</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Reuse the existing plan space.</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Run zero miner queries.</w:t>
            </w:r>
          </w:p>
        </w:tc>
      </w:tr>
      <w:tr>
        <w:tc>
          <w:tcPr>
            <w:tcW w:w="1900" w:type="dxa"/>
            <w:shd w:val="clear" w:fill="FFFFFF"/>
            <w:tcMar>
              <w:top w:w="80" w:type="dxa"/>
              <w:left w:w="100" w:type="dxa"/>
              <w:bottom w:w="80" w:type="dxa"/>
              <w:right w:w="100" w:type="dxa"/>
            </w:tcMar>
          </w:tcPr>
          <w:p>
            <w:pPr>
              <w:pStyle w:val="TableText"/>
              <w:spacing w:after="70"/>
            </w:pPr>
            <w:r>
              <w:rPr>
                <w:color w:val="172033"/>
                <w:sz w:val="19"/>
                <w:szCs w:val="19"/>
              </w:rPr>
              <w:t xml:space="preserve">Append-only cases</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Append full space; populate a reusable delta space with new complete cases only.</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Run the real miner on the delta and add its counts transactionally.</w:t>
            </w:r>
          </w:p>
        </w:tc>
      </w:tr>
      <w:tr>
        <w:tc>
          <w:tcPr>
            <w:tcW w:w="1900" w:type="dxa"/>
            <w:shd w:val="clear" w:fill="F8FAFC"/>
            <w:tcMar>
              <w:top w:w="80" w:type="dxa"/>
              <w:left w:w="100" w:type="dxa"/>
              <w:bottom w:w="80" w:type="dxa"/>
              <w:right w:w="100" w:type="dxa"/>
            </w:tcMar>
          </w:tcPr>
          <w:p>
            <w:pPr>
              <w:pStyle w:val="TableText"/>
              <w:spacing w:after="70"/>
            </w:pPr>
            <w:r>
              <w:rPr>
                <w:color w:val="172033"/>
                <w:sz w:val="19"/>
                <w:szCs w:val="19"/>
              </w:rPr>
              <w:t xml:space="preserve">One or more retained units expire</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Rebuild the complete newly retained plan space.</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Run click and skip support-one discovery in retention_expired_full mode.</w:t>
            </w:r>
          </w:p>
        </w:tc>
      </w:tr>
      <w:tr>
        <w:tc>
          <w:tcPr>
            <w:tcW w:w="1900" w:type="dxa"/>
            <w:shd w:val="clear" w:fill="FFFFFF"/>
            <w:tcMar>
              <w:top w:w="80" w:type="dxa"/>
              <w:left w:w="100" w:type="dxa"/>
              <w:bottom w:w="80" w:type="dxa"/>
              <w:right w:w="100" w:type="dxa"/>
            </w:tcMar>
          </w:tcPr>
          <w:p>
            <w:pPr>
              <w:pStyle w:val="TableText"/>
              <w:spacing w:after="70"/>
            </w:pPr>
            <w:r>
              <w:rPr>
                <w:color w:val="172033"/>
                <w:sz w:val="19"/>
                <w:szCs w:val="19"/>
              </w:rPr>
              <w:t xml:space="preserve">Changed/removed cases</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Rebuild the plan space.</w:t>
            </w:r>
          </w:p>
        </w:tc>
        <w:tc>
          <w:tcPr>
            <w:tcW w:w="3500" w:type="dxa"/>
            <w:shd w:val="clear" w:fill="FFFFFF"/>
            <w:tcMar>
              <w:top w:w="80" w:type="dxa"/>
              <w:left w:w="100" w:type="dxa"/>
              <w:bottom w:w="80" w:type="dxa"/>
              <w:right w:w="100" w:type="dxa"/>
            </w:tcMar>
          </w:tcPr>
          <w:p>
            <w:pPr>
              <w:pStyle w:val="TableText"/>
              <w:spacing w:after="70"/>
            </w:pPr>
            <w:r>
              <w:rPr>
                <w:color w:val="172033"/>
                <w:sz w:val="19"/>
                <w:szCs w:val="19"/>
              </w:rPr>
              <w:t xml:space="preserve">Run a safe full discovery pass.</w:t>
            </w:r>
          </w:p>
        </w:tc>
      </w:tr>
      <w:tr>
        <w:tc>
          <w:tcPr>
            <w:tcW w:w="1900" w:type="dxa"/>
            <w:shd w:val="clear" w:fill="F8FAFC"/>
            <w:tcMar>
              <w:top w:w="80" w:type="dxa"/>
              <w:left w:w="100" w:type="dxa"/>
              <w:bottom w:w="80" w:type="dxa"/>
              <w:right w:w="100" w:type="dxa"/>
            </w:tcMar>
          </w:tcPr>
          <w:p>
            <w:pPr>
              <w:pStyle w:val="TableText"/>
              <w:spacing w:after="70"/>
            </w:pPr>
            <w:r>
              <w:rPr>
                <w:color w:val="172033"/>
                <w:sz w:val="19"/>
                <w:szCs w:val="19"/>
              </w:rPr>
              <w:t xml:space="preserve">Schema or plan change</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Create/rebuild the corresponding versioned plan.</w:t>
            </w:r>
          </w:p>
        </w:tc>
        <w:tc>
          <w:tcPr>
            <w:tcW w:w="3500" w:type="dxa"/>
            <w:shd w:val="clear" w:fill="F8FAFC"/>
            <w:tcMar>
              <w:top w:w="80" w:type="dxa"/>
              <w:left w:w="100" w:type="dxa"/>
              <w:bottom w:w="80" w:type="dxa"/>
              <w:right w:w="100" w:type="dxa"/>
            </w:tcMar>
          </w:tcPr>
          <w:p>
            <w:pPr>
              <w:pStyle w:val="TableText"/>
              <w:spacing w:after="70"/>
            </w:pPr>
            <w:r>
              <w:rPr>
                <w:color w:val="172033"/>
                <w:sz w:val="19"/>
                <w:szCs w:val="19"/>
              </w:rPr>
              <w:t xml:space="preserve">Run a safe full discovery pass.</w:t>
            </w:r>
          </w:p>
        </w:tc>
      </w:tr>
    </w:tbl>
    <w:p>
      <w:pPr>
        <w:spacing w:after="100"/>
      </w:pPr>
    </w:p>
    <w:p>
      <w:pPr>
        <w:pStyle w:val="Normal"/>
      </w:pPr>
      <w:r>
        <w:t xml:space="preserve">For fixed plan and append-only evidence, support is additive:</w:t>
      </w:r>
    </w:p>
    <w:p>
      <w:pPr>
        <w:pStyle w:val="Quote"/>
      </w:pPr>
      <w:r>
        <w:t xml:space="preserve">n_new(A ∧ Y) = n_old(A ∧ Y) + n_delta(A ∧ Y)</w:t>
      </w:r>
    </w:p>
    <w:p>
      <w:pPr>
        <w:pStyle w:val="Normal"/>
      </w:pPr>
      <w:r>
        <w:t xml:space="preserve">A genuinely new conjunction may appear in a delta. Existing pattern supports and rendered CTVs may change. Counts do not decrease under append-only updates. Expiration is implemented exactly: when any previously retained whole unit leaves the bounded suffix, the miner performs a complete retained-space rebuild instead of approximating subtraction or merely forgetting rendered rules.</w:t>
      </w:r>
    </w:p>
    <w:p>
      <w:pPr>
        <w:pStyle w:val="Heading2"/>
        <w:keepNext/>
      </w:pPr>
      <w:r>
        <w:t xml:space="preserve">12.1 What belongs in a delta</w:t>
      </w:r>
    </w:p>
    <w:p>
      <w:pPr>
        <w:pStyle w:val="Normal"/>
        <w:ind w:left="360" w:hanging="240"/>
        <w:spacing w:after="70"/>
      </w:pPr>
      <w:r>
        <w:t xml:space="preserve">•  New complete point cases: the active bounded features plus one observed target.</w:t>
      </w:r>
    </w:p>
    <w:p>
      <w:pPr>
        <w:pStyle w:val="Normal"/>
        <w:ind w:left="360" w:hanging="240"/>
        <w:spacing w:after="70"/>
      </w:pPr>
      <w:r>
        <w:t xml:space="preserve">•  New complete pair cases only when one impression has both positive and negative exposed candidates; emit both orientations.</w:t>
      </w:r>
    </w:p>
    <w:p>
      <w:pPr>
        <w:pStyle w:val="Normal"/>
        <w:ind w:left="360" w:hanging="240"/>
        <w:spacing w:after="70"/>
      </w:pPr>
      <w:r>
        <w:t xml:space="preserve">•  No browser DOM state, queue order, prediction score or evaluation label.</w:t>
      </w:r>
    </w:p>
    <w:p>
      <w:pPr>
        <w:pStyle w:val="Normal"/>
        <w:ind w:left="360" w:hanging="240"/>
        <w:spacing w:after="70"/>
      </w:pPr>
      <w:r>
        <w:t xml:space="preserve">•  No partially observed outcome whose exposure or completion status may still change.</w:t>
      </w:r>
    </w:p>
    <w:p>
      <w:pPr>
        <w:pStyle w:val="Heading2"/>
        <w:keepNext/>
      </w:pPr>
      <w:r>
        <w:t xml:space="preserve">12.2 Why mining is not per-click</w:t>
      </w:r>
    </w:p>
    <w:p>
      <w:pPr>
        <w:pStyle w:val="Normal"/>
      </w:pPr>
      <w:r>
        <w:t xml:space="preserve">Running fpMiner synchronously for every interaction is unnecessary. Immediate personalization comes from private fact updates. The N-or-T trigger amortizes global learning, coalesces bursts and provides enough closed evidence for stable support. Only one build should be active; later triggers are coalesced into one follow-up snapshot.</w:t>
      </w:r>
    </w:p>
    <w:p>
      <w:pPr>
        <w:pStyle w:val="Heading1"/>
        <w:keepNext/>
      </w:pPr>
      <w:r>
        <w:t xml:space="preserve">13. Immutable build and atomic promotion</w:t>
      </w:r>
    </w:p>
    <w:p>
      <w:pPr>
        <w:pStyle w:val="Normal"/>
      </w:pPr>
      <w:r>
        <w:rPr>
          <w:b/>
          <w:color w:val="0F766E"/>
        </w:rPr>
        <w:t xml:space="preserve">1.  </w:t>
      </w:r>
      <w:r>
        <w:t xml:space="preserve">Seal the new-event watermark and capture a read-only view of events, users, article evidence, configuration and active model version.</w:t>
      </w:r>
    </w:p>
    <w:p>
      <w:pPr>
        <w:pStyle w:val="Normal"/>
      </w:pPr>
      <w:r>
        <w:rPr>
          <w:b/>
          <w:color w:val="0F766E"/>
        </w:rPr>
        <w:t xml:space="preserve">2.  </w:t>
      </w:r>
      <w:r>
        <w:t xml:space="preserve">Synchronize fixed mining plans and process append-only delta cases under a single miner lock.</w:t>
      </w:r>
    </w:p>
    <w:p>
      <w:pPr>
        <w:pStyle w:val="Normal"/>
      </w:pPr>
      <w:r>
        <w:rPr>
          <w:b/>
          <w:color w:val="0F766E"/>
        </w:rPr>
        <w:t xml:space="preserve">3.  </w:t>
      </w:r>
      <w:r>
        <w:t xml:space="preserve">Reconstruct complete causal training populations for selected structures.</w:t>
      </w:r>
    </w:p>
    <w:p>
      <w:pPr>
        <w:pStyle w:val="Normal"/>
      </w:pPr>
      <w:r>
        <w:rPr>
          <w:b/>
          <w:color w:val="0F766E"/>
        </w:rPr>
        <w:t xml:space="preserve">4.  </w:t>
      </w:r>
      <w:r>
        <w:t xml:space="preserve">Apply support, effect, temporal-fold and dependency gates.</w:t>
      </w:r>
    </w:p>
    <w:p>
      <w:pPr>
        <w:pStyle w:val="Normal"/>
      </w:pPr>
      <w:r>
        <w:rPr>
          <w:b/>
          <w:color w:val="0F766E"/>
        </w:rPr>
        <w:t xml:space="preserve">5.  </w:t>
      </w:r>
      <w:r>
        <w:t xml:space="preserve">Compile selected CTV rules and all required one-way adapters into a fresh isolated PeTTaChainer worker.</w:t>
      </w:r>
    </w:p>
    <w:p>
      <w:pPr>
        <w:pStyle w:val="Normal"/>
      </w:pPr>
      <w:r>
        <w:rPr>
          <w:b/>
          <w:color w:val="0F766E"/>
        </w:rPr>
        <w:t xml:space="preserve">6.  </w:t>
      </w:r>
      <w:r>
        <w:t xml:space="preserve">Run semantic, numerical, proof-isolation and benchmark acceptance checks.</w:t>
      </w:r>
    </w:p>
    <w:p>
      <w:pPr>
        <w:pStyle w:val="Normal"/>
      </w:pPr>
      <w:r>
        <w:rPr>
          <w:b/>
          <w:color w:val="0F766E"/>
        </w:rPr>
        <w:t xml:space="preserve">7.  </w:t>
      </w:r>
      <w:r>
        <w:t xml:space="preserve">Promote only if the source version/configuration is still current and all components share one artifact ID.</w:t>
      </w:r>
    </w:p>
    <w:p>
      <w:pPr>
        <w:pStyle w:val="Normal"/>
      </w:pPr>
      <w:r>
        <w:rPr>
          <w:b/>
          <w:color w:val="0F766E"/>
        </w:rPr>
        <w:t xml:space="preserve">8.  </w:t>
      </w:r>
      <w:r>
        <w:t xml:space="preserve">Swap worker, rule vocabulary, transforms and caches atomically; retire the old worker after in-flight requests complete.</w:t>
      </w:r>
    </w:p>
    <w:p>
      <w:pPr>
        <w:pStyle w:val="Normal"/>
      </w:pPr>
      <w:r>
        <w:t xml:space="preserve">The immutable source snapshot includes closed events with pre-outcome facts, user histories as of the watermark, content-versioned article observations, frozen transforms, plan definitions and model configuration. A single whole-unit retention pass then defines the exact event population used by point mining, pair mining, CTV recount, tie/popularity statistics and compilation. It excludes live queue/DOM state and all held-out evaluation outcomes.</w:t>
      </w:r>
    </w:p>
    <w:p>
      <w:pPr>
        <w:pStyle w:val="Heading1"/>
        <w:keepNext/>
      </w:pPr>
      <w:r>
        <w:t xml:space="preserve">14. Failure behavior and invariants</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700"/>
        <w:gridCol w:w="6300"/>
      </w:tblGrid>
      <w:tr>
        <w:trPr>
          <w:tblHeader/>
        </w:trPr>
        <w:tc>
          <w:tcPr>
            <w:tcW w:w="2700" w:type="dxa"/>
            <w:shd w:val="clear" w:fill="0F766E"/>
            <w:tcMar>
              <w:top w:w="80" w:type="dxa"/>
              <w:left w:w="100" w:type="dxa"/>
              <w:bottom w:w="80" w:type="dxa"/>
              <w:right w:w="100" w:type="dxa"/>
            </w:tcMar>
          </w:tcPr>
          <w:p>
            <w:pPr>
              <w:pStyle w:val="TableText"/>
              <w:spacing w:after="70"/>
            </w:pPr>
            <w:r>
              <w:rPr>
                <w:b/>
                <w:color w:val="FFFFFF"/>
                <w:sz w:val="19"/>
                <w:szCs w:val="19"/>
              </w:rPr>
              <w:t xml:space="preserve">Invariant</w:t>
            </w:r>
          </w:p>
        </w:tc>
        <w:tc>
          <w:tcPr>
            <w:tcW w:w="6300" w:type="dxa"/>
            <w:shd w:val="clear" w:fill="0F766E"/>
            <w:tcMar>
              <w:top w:w="80" w:type="dxa"/>
              <w:left w:w="100" w:type="dxa"/>
              <w:bottom w:w="80" w:type="dxa"/>
              <w:right w:w="100" w:type="dxa"/>
            </w:tcMar>
          </w:tcPr>
          <w:p>
            <w:pPr>
              <w:pStyle w:val="TableText"/>
              <w:spacing w:after="70"/>
            </w:pPr>
            <w:r>
              <w:rPr>
                <w:b/>
                <w:color w:val="FFFFFF"/>
                <w:sz w:val="19"/>
                <w:szCs w:val="19"/>
              </w:rPr>
              <w:t xml:space="preserve">Required behavior</w:t>
            </w:r>
          </w:p>
        </w:tc>
      </w:tr>
      <w:tr>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No fallback recommendation model</w:t>
            </w:r>
          </w:p>
        </w:tc>
        <w:tc>
          <w:tcPr>
            <w:tcW w:w="6300" w:type="dxa"/>
            <w:shd w:val="clear" w:fill="FFFFFF"/>
            <w:tcMar>
              <w:top w:w="80" w:type="dxa"/>
              <w:left w:w="100" w:type="dxa"/>
              <w:bottom w:w="80" w:type="dxa"/>
              <w:right w:w="100" w:type="dxa"/>
            </w:tcMar>
          </w:tcPr>
          <w:p>
            <w:pPr>
              <w:pStyle w:val="TableText"/>
              <w:spacing w:after="70"/>
            </w:pPr>
            <w:r>
              <w:rPr>
                <w:color w:val="172033"/>
                <w:sz w:val="19"/>
                <w:szCs w:val="19"/>
              </w:rPr>
              <w:t xml:space="preserve">No-proof evidence stays neutral and is visible in diagnostics.</w:t>
            </w:r>
          </w:p>
        </w:tc>
      </w:tr>
      <w:tr>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No leakage</w:t>
            </w:r>
          </w:p>
        </w:tc>
        <w:tc>
          <w:tcPr>
            <w:tcW w:w="6300" w:type="dxa"/>
            <w:shd w:val="clear" w:fill="F8FAFC"/>
            <w:tcMar>
              <w:top w:w="80" w:type="dxa"/>
              <w:left w:w="100" w:type="dxa"/>
              <w:bottom w:w="80" w:type="dxa"/>
              <w:right w:w="100" w:type="dxa"/>
            </w:tcMar>
          </w:tcPr>
          <w:p>
            <w:pPr>
              <w:pStyle w:val="TableText"/>
              <w:spacing w:after="70"/>
            </w:pPr>
            <w:r>
              <w:rPr>
                <w:color w:val="172033"/>
                <w:sz w:val="19"/>
                <w:szCs w:val="19"/>
              </w:rPr>
              <w:t xml:space="preserve">Current impression outcomes cannot affect current impression facts.</w:t>
            </w:r>
          </w:p>
        </w:tc>
      </w:tr>
      <w:tr>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No sampled serving CTV</w:t>
            </w:r>
          </w:p>
        </w:tc>
        <w:tc>
          <w:tcPr>
            <w:tcW w:w="6300" w:type="dxa"/>
            <w:shd w:val="clear" w:fill="FFFFFF"/>
            <w:tcMar>
              <w:top w:w="80" w:type="dxa"/>
              <w:left w:w="100" w:type="dxa"/>
              <w:bottom w:w="80" w:type="dxa"/>
              <w:right w:w="100" w:type="dxa"/>
            </w:tcMar>
          </w:tcPr>
          <w:p>
            <w:pPr>
              <w:pStyle w:val="TableText"/>
              <w:spacing w:after="70"/>
            </w:pPr>
            <w:r>
              <w:rPr>
                <w:color w:val="172033"/>
                <w:sz w:val="19"/>
                <w:szCs w:val="19"/>
              </w:rPr>
              <w:t xml:space="preserve">Discovery sampling never determines population probabilities.</w:t>
            </w:r>
          </w:p>
        </w:tc>
      </w:tr>
      <w:tr>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No dependent double vote</w:t>
            </w:r>
          </w:p>
        </w:tc>
        <w:tc>
          <w:tcPr>
            <w:tcW w:w="6300" w:type="dxa"/>
            <w:shd w:val="clear" w:fill="F8FAFC"/>
            <w:tcMar>
              <w:top w:w="80" w:type="dxa"/>
              <w:left w:w="100" w:type="dxa"/>
              <w:bottom w:w="80" w:type="dxa"/>
              <w:right w:w="100" w:type="dxa"/>
            </w:tcMar>
          </w:tcPr>
          <w:p>
            <w:pPr>
              <w:pStyle w:val="TableText"/>
              <w:spacing w:after="70"/>
            </w:pPr>
            <w:r>
              <w:rPr>
                <w:color w:val="172033"/>
                <w:sz w:val="19"/>
                <w:szCs w:val="19"/>
              </w:rPr>
              <w:t xml:space="preserve">One dependency contributes at most one margin per pair.</w:t>
            </w:r>
          </w:p>
        </w:tc>
      </w:tr>
      <w:tr>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Whole-unit retention</w:t>
            </w:r>
          </w:p>
        </w:tc>
        <w:tc>
          <w:tcPr>
            <w:tcW w:w="6300" w:type="dxa"/>
            <w:shd w:val="clear" w:fill="FFFFFF"/>
            <w:tcMar>
              <w:top w:w="80" w:type="dxa"/>
              <w:left w:w="100" w:type="dxa"/>
              <w:bottom w:w="80" w:type="dxa"/>
              <w:right w:w="100" w:type="dxa"/>
            </w:tcMar>
          </w:tcPr>
          <w:p>
            <w:pPr>
              <w:pStyle w:val="TableText"/>
              <w:spacing w:after="70"/>
            </w:pPr>
            <w:r>
              <w:rPr>
                <w:color w:val="172033"/>
                <w:sz w:val="19"/>
                <w:szCs w:val="19"/>
              </w:rPr>
              <w:t xml:space="preserve">Point and pair models consume one audited retained suffix; expiration forces an exact full rebuild.</w:t>
            </w:r>
          </w:p>
        </w:tc>
      </w:tr>
      <w:tr>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Resource overflow</w:t>
            </w:r>
          </w:p>
        </w:tc>
        <w:tc>
          <w:tcPr>
            <w:tcW w:w="6300" w:type="dxa"/>
            <w:shd w:val="clear" w:fill="F8FAFC"/>
            <w:tcMar>
              <w:top w:w="80" w:type="dxa"/>
              <w:left w:w="100" w:type="dxa"/>
              <w:bottom w:w="80" w:type="dxa"/>
              <w:right w:w="100" w:type="dxa"/>
            </w:tcMar>
          </w:tcPr>
          <w:p>
            <w:pPr>
              <w:pStyle w:val="TableText"/>
              <w:spacing w:after="70"/>
            </w:pPr>
            <w:r>
              <w:rPr>
                <w:color w:val="172033"/>
                <w:sz w:val="19"/>
                <w:szCs w:val="19"/>
              </w:rPr>
              <w:t xml:space="preserve">Pattern/plan/case, journal, proof-cache and pair-work bounds reject before partial mutation; no silent truncation or fallback.</w:t>
            </w:r>
          </w:p>
        </w:tc>
      </w:tr>
      <w:tr>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No partial model</w:t>
            </w:r>
          </w:p>
        </w:tc>
        <w:tc>
          <w:tcPr>
            <w:tcW w:w="6300" w:type="dxa"/>
            <w:shd w:val="clear" w:fill="FFFFFF"/>
            <w:tcMar>
              <w:top w:w="80" w:type="dxa"/>
              <w:left w:w="100" w:type="dxa"/>
              <w:bottom w:w="80" w:type="dxa"/>
              <w:right w:w="100" w:type="dxa"/>
            </w:tcMar>
          </w:tcPr>
          <w:p>
            <w:pPr>
              <w:pStyle w:val="TableText"/>
              <w:spacing w:after="70"/>
            </w:pPr>
            <w:r>
              <w:rPr>
                <w:color w:val="172033"/>
                <w:sz w:val="19"/>
                <w:szCs w:val="19"/>
              </w:rPr>
              <w:t xml:space="preserve">A worker is promoted only with matching rules, vocabularies, CTV estimates and caches.</w:t>
            </w:r>
          </w:p>
        </w:tc>
      </w:tr>
      <w:tr>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No event replay</w:t>
            </w:r>
          </w:p>
        </w:tc>
        <w:tc>
          <w:tcPr>
            <w:tcW w:w="6300" w:type="dxa"/>
            <w:shd w:val="clear" w:fill="F8FAFC"/>
            <w:tcMar>
              <w:top w:w="80" w:type="dxa"/>
              <w:left w:w="100" w:type="dxa"/>
              <w:bottom w:w="80" w:type="dxa"/>
              <w:right w:w="100" w:type="dxa"/>
            </w:tcMar>
          </w:tcPr>
          <w:p>
            <w:pPr>
              <w:pStyle w:val="TableText"/>
              <w:spacing w:after="70"/>
            </w:pPr>
            <w:r>
              <w:rPr>
                <w:color w:val="172033"/>
                <w:sz w:val="19"/>
                <w:szCs w:val="19"/>
              </w:rPr>
              <w:t xml:space="preserve">Ownership, emitted-item membership and idempotency are verified.</w:t>
            </w:r>
          </w:p>
        </w:tc>
      </w:tr>
      <w:tr>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No semantic execution</w:t>
            </w:r>
          </w:p>
        </w:tc>
        <w:tc>
          <w:tcPr>
            <w:tcW w:w="6300" w:type="dxa"/>
            <w:shd w:val="clear" w:fill="FFFFFF"/>
            <w:tcMar>
              <w:top w:w="80" w:type="dxa"/>
              <w:left w:w="100" w:type="dxa"/>
              <w:bottom w:w="80" w:type="dxa"/>
              <w:right w:w="100" w:type="dxa"/>
            </w:tcMar>
          </w:tcPr>
          <w:p>
            <w:pPr>
              <w:pStyle w:val="TableText"/>
              <w:spacing w:after="70"/>
            </w:pPr>
            <w:r>
              <w:rPr>
                <w:color w:val="172033"/>
                <w:sz w:val="19"/>
                <w:szCs w:val="19"/>
              </w:rPr>
              <w:t xml:space="preserve">Language extraction accepts only allowlisted ground article facts; generated code/rules are rejected.</w:t>
            </w:r>
          </w:p>
        </w:tc>
      </w:tr>
      <w:tr>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No hidden data-specific identity</w:t>
            </w:r>
          </w:p>
        </w:tc>
        <w:tc>
          <w:tcPr>
            <w:tcW w:w="6300" w:type="dxa"/>
            <w:shd w:val="clear" w:fill="F8FAFC"/>
            <w:tcMar>
              <w:top w:w="80" w:type="dxa"/>
              <w:left w:w="100" w:type="dxa"/>
              <w:bottom w:w="80" w:type="dxa"/>
              <w:right w:w="100" w:type="dxa"/>
            </w:tcMar>
          </w:tcPr>
          <w:p>
            <w:pPr>
              <w:pStyle w:val="TableText"/>
              <w:spacing w:after="70"/>
            </w:pPr>
            <w:r>
              <w:rPr>
                <w:color w:val="172033"/>
                <w:sz w:val="19"/>
                <w:szCs w:val="19"/>
              </w:rPr>
              <w:t xml:space="preserve">User IDs and article IDs do not become global rule premises.</w:t>
            </w:r>
          </w:p>
        </w:tc>
      </w:tr>
    </w:tbl>
    <w:p>
      <w:pPr>
        <w:spacing w:after="100"/>
      </w:pPr>
    </w:p>
    <w:p>
      <w:pPr>
        <w:pStyle w:val="Heading1"/>
        <w:keepNext/>
      </w:pPr>
      <w:r>
        <w:t xml:space="preserve">15. Observability and model artifact</w:t>
      </w:r>
    </w:p>
    <w:p>
      <w:pPr>
        <w:pStyle w:val="Normal"/>
      </w:pPr>
      <w:r>
        <w:t xml:space="preserve">Every promoted artifact should contain:</w:t>
      </w:r>
    </w:p>
    <w:p>
      <w:pPr>
        <w:pStyle w:val="Normal"/>
        <w:ind w:left="360" w:hanging="240"/>
        <w:spacing w:after="70"/>
      </w:pPr>
      <w:r>
        <w:t xml:space="preserve">•  Dataset/time-window fingerprints, event watermark and schema versions.</w:t>
      </w:r>
    </w:p>
    <w:p>
      <w:pPr>
        <w:pStyle w:val="Normal"/>
        <w:ind w:left="360" w:hanging="240"/>
        <w:spacing w:after="70"/>
      </w:pPr>
      <w:r>
        <w:t xml:space="preserve">•  Mining plans, case counts, delta/full/reuse mode and actual miner call counts.</w:t>
      </w:r>
    </w:p>
    <w:p>
      <w:pPr>
        <w:pStyle w:val="Normal"/>
        <w:ind w:left="360" w:hanging="240"/>
        <w:spacing w:after="70"/>
      </w:pPr>
      <w:r>
        <w:t xml:space="preserve">•  Every selected rule's premises, target, supports, CTV, temporal-fold diagnostics, scope and dependency lineage.</w:t>
      </w:r>
    </w:p>
    <w:p>
      <w:pPr>
        <w:pStyle w:val="Normal"/>
        <w:ind w:left="360" w:hanging="240"/>
        <w:spacing w:after="70"/>
      </w:pPr>
      <w:r>
        <w:t xml:space="preserve">•  Frozen bucket boundaries, semantic extractor/embedding versions and content hashes.</w:t>
      </w:r>
    </w:p>
    <w:p>
      <w:pPr>
        <w:pStyle w:val="Normal"/>
        <w:ind w:left="360" w:hanging="240"/>
        <w:spacing w:after="70"/>
      </w:pPr>
      <w:r>
        <w:t xml:space="preserve">•  Benchmark metrics with per-impression rows, confidence intervals and paired comparisons.</w:t>
      </w:r>
    </w:p>
    <w:p>
      <w:pPr>
        <w:pStyle w:val="Normal"/>
        <w:ind w:left="360" w:hanging="240"/>
        <w:spacing w:after="70"/>
      </w:pPr>
      <w:r>
        <w:t xml:space="preserve">•  PeTTaChainer rule checksum, proof coverage, no-proof rate, proof latency and reasoner errors.</w:t>
      </w:r>
    </w:p>
    <w:p>
      <w:pPr>
        <w:pStyle w:val="Normal"/>
        <w:ind w:left="360" w:hanging="240"/>
        <w:spacing w:after="70"/>
      </w:pPr>
      <w:r>
        <w:t xml:space="preserve">•  Observed pair work under unordered_pair_comparisons and maximum_unordered_pair_comparisons_in_one_slate; configured ceilings under configured_max_total_unordered_pair_comparisons and configured_max_unordered_pair_comparisons_per_slate.</w:t>
      </w:r>
    </w:p>
    <w:p>
      <w:pPr>
        <w:pStyle w:val="Normal"/>
        <w:ind w:left="360" w:hanging="240"/>
        <w:spacing w:after="70"/>
      </w:pPr>
      <w:r>
        <w:t xml:space="preserve">•  Same-cohort popularity and pointwise symbolic AUC baselines, each on identical held-out slates with an impression-bootstrap interval; popularity remains diagnostic only.</w:t>
      </w:r>
    </w:p>
    <w:p>
      <w:pPr>
        <w:pStyle w:val="Normal"/>
        <w:ind w:left="360" w:hanging="240"/>
        <w:spacing w:after="70"/>
      </w:pPr>
      <w:r>
        <w:t xml:space="preserve">•  Retention membership/count audit, support-cache limits, scorer mutation-journal usage and proof-cache limits.</w:t>
      </w:r>
    </w:p>
    <w:p>
      <w:pPr>
        <w:pStyle w:val="Normal"/>
        <w:ind w:left="360" w:hanging="240"/>
        <w:spacing w:after="70"/>
      </w:pPr>
      <w:r>
        <w:t xml:space="preserve">•  Promotion decision, previous model ID, rejection reason when held, and rollback pointer.</w:t>
      </w:r>
    </w:p>
    <w:p>
      <w:pPr>
        <w:pStyle w:val="Normal"/>
      </w:pPr>
      <w:r>
        <w:t xml:space="preserve">Online monitoring should separate event-acceptance latency, private rerank latency, scorer throughput, mining duration, CTV-estimation duration, worker compilation, model age and resource consumption.</w:t>
      </w:r>
    </w:p>
    <w:p>
      <w:pPr>
        <w:pStyle w:val="Heading1"/>
        <w:keepNext/>
      </w:pPr>
      <w:r>
        <w:t xml:space="preserve">16. Replication acceptance tests</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500"/>
        <w:gridCol w:w="6500"/>
      </w:tblGrid>
      <w:tr>
        <w:trPr>
          <w:tblHeader/>
        </w:trPr>
        <w:tc>
          <w:tcPr>
            <w:tcW w:w="2500" w:type="dxa"/>
            <w:shd w:val="clear" w:fill="0F766E"/>
            <w:tcMar>
              <w:top w:w="80" w:type="dxa"/>
              <w:left w:w="100" w:type="dxa"/>
              <w:bottom w:w="80" w:type="dxa"/>
              <w:right w:w="100" w:type="dxa"/>
            </w:tcMar>
          </w:tcPr>
          <w:p>
            <w:pPr>
              <w:pStyle w:val="TableText"/>
              <w:spacing w:after="70"/>
            </w:pPr>
            <w:r>
              <w:rPr>
                <w:b/>
                <w:color w:val="FFFFFF"/>
                <w:sz w:val="19"/>
                <w:szCs w:val="19"/>
              </w:rPr>
              <w:t xml:space="preserve">Test</w:t>
            </w:r>
          </w:p>
        </w:tc>
        <w:tc>
          <w:tcPr>
            <w:tcW w:w="6500" w:type="dxa"/>
            <w:shd w:val="clear" w:fill="0F766E"/>
            <w:tcMar>
              <w:top w:w="80" w:type="dxa"/>
              <w:left w:w="100" w:type="dxa"/>
              <w:bottom w:w="80" w:type="dxa"/>
              <w:right w:w="100" w:type="dxa"/>
            </w:tcMar>
          </w:tcPr>
          <w:p>
            <w:pPr>
              <w:pStyle w:val="TableText"/>
              <w:spacing w:after="70"/>
            </w:pPr>
            <w:r>
              <w:rPr>
                <w:b/>
                <w:color w:val="FFFFFF"/>
                <w:sz w:val="19"/>
                <w:szCs w:val="19"/>
              </w:rPr>
              <w:t xml:space="preserve">Passing condition</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Miner authenticity</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Removing or disabling the MeTTa fpMiner makes structure discovery fail closed.</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Reasoner authenticity</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Removing PeTTa preference proofs reduces a separable proof-only fixture to neutral/tied ranking.</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Causal snapshot</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Permuting outcomes within an impression cannot change that impression's input facts.</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Pair symmetry</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Swapping candidates swaps left/right symbols and reverses the target consistently.</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Delta equivalence</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Append-incremental supports and emitted rules equal a clean full rerun for the same fixed plan.</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Retention expiration</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When a whole causal unit expires, the retained support state equals a clean full rerun and no impression is split.</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Reuse</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An unchanged plan executes zero fpMiner queries.</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Point-channel completeness</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Every host-applicable weighted PointSignal root is proved; a missing active channel rejects scoring.</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Bound failure</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Each pattern/plan/case, journal, cache and pair-work limit fails before committing partial state.</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Dependency isolation</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A proof in one family cannot manufacture a proof in another through an invertible bridge.</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Atomicity</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Concurrent requests see either the complete old model or the complete new model, never a mixture.</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Live causality</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One isolated action changes a related unserved candidate's proof signature and score, not only its visual rank.</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Evaluation integrity</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A sealed evaluation cohort is excluded from transform fitting, mining and configuration selection.</w:t>
            </w:r>
          </w:p>
        </w:tc>
      </w:tr>
    </w:tbl>
    <w:p>
      <w:pPr>
        <w:spacing w:after="100"/>
      </w:pPr>
    </w:p>
    <w:p>
      <w:pPr>
        <w:pStyle w:val="Heading1"/>
        <w:keepNext/>
      </w:pPr>
      <w:r>
        <w:t xml:space="preserve">17. Known boundaries</w:t>
      </w:r>
    </w:p>
    <w:p>
      <w:pPr>
        <w:pStyle w:val="Normal"/>
        <w:ind w:left="360" w:hanging="240"/>
        <w:spacing w:after="70"/>
      </w:pPr>
      <w:r>
        <w:t xml:space="preserve">•  Logged-slate replay evaluates only items exposed by the historical logging policy; it is not a counterfactual online experiment.</w:t>
      </w:r>
    </w:p>
    <w:p>
      <w:pPr>
        <w:pStyle w:val="Normal"/>
        <w:ind w:left="360" w:hanging="240"/>
        <w:spacing w:after="70"/>
      </w:pPr>
      <w:r>
        <w:t xml:space="preserve">•  Candidate retrieval recall is outside the reported reranker benchmark; an omitted article cannot be recovered by proof ranking.</w:t>
      </w:r>
    </w:p>
    <w:p>
      <w:pPr>
        <w:pStyle w:val="Normal"/>
        <w:ind w:left="360" w:hanging="240"/>
        <w:spacing w:after="70"/>
      </w:pPr>
      <w:r>
        <w:t xml:space="preserve">•  The current 40-item window bounds quadratic pair work and scorer RPCs have finite outer deadlines, but no production throughput or concurrent tail-latency guarantee has been established.</w:t>
      </w:r>
    </w:p>
    <w:p>
      <w:pPr>
        <w:pStyle w:val="Normal"/>
        <w:ind w:left="360" w:hanging="240"/>
        <w:spacing w:after="70"/>
      </w:pPr>
      <w:r>
        <w:t xml:space="preserve">•  The current benchmark uses global mined rules. Learned cohort and personal tiers require independent evaluation.</w:t>
      </w:r>
    </w:p>
    <w:p>
      <w:pPr>
        <w:pStyle w:val="Normal"/>
        <w:ind w:left="360" w:hanging="240"/>
        <w:spacing w:after="70"/>
      </w:pPr>
      <w:r>
        <w:t xml:space="preserve">•  The complete model build still performs full feature reconstruction, CTV estimation, validation and worker compilation; incremental support mining alone does not solve total build latency.</w:t>
      </w:r>
    </w:p>
    <w:p>
      <w:pPr>
        <w:pStyle w:val="Normal"/>
        <w:ind w:left="360" w:hanging="240"/>
        <w:spacing w:after="70"/>
      </w:pPr>
      <w:r>
        <w:t xml:space="preserve">•  Richer semantic facts can add noise. Canonicalization, missingness, dependency ownership and behavior-based CTV estimation are mandatory.</w:t>
      </w:r>
    </w:p>
    <w:p>
      <w:pPr>
        <w:pStyle w:val="Normal"/>
        <w:ind w:left="360" w:hanging="240"/>
        <w:spacing w:after="70"/>
      </w:pPr>
      <w:r>
        <w:t xml:space="preserve">•  No architecture can guarantee a fixed AUC after transfer. A new distribution requires a new chronological benchmark and online experiment.</w:t>
      </w:r>
    </w:p>
    <w:p>
      <w:pPr>
        <w:pStyle w:val="Heading1"/>
        <w:keepNext/>
      </w:pPr>
      <w:r>
        <w:t xml:space="preserve">18. Minimal replication sequence</w:t>
      </w:r>
    </w:p>
    <w:p>
      <w:pPr>
        <w:pStyle w:val="Normal"/>
      </w:pPr>
      <w:r>
        <w:rPr>
          <w:b/>
          <w:color w:val="0F766E"/>
        </w:rPr>
        <w:t xml:space="preserve">1.  </w:t>
      </w:r>
      <w:r>
        <w:t xml:space="preserve">Implement the canonical event, exposure, article and causal-snapshot contract.</w:t>
      </w:r>
    </w:p>
    <w:p>
      <w:pPr>
        <w:pStyle w:val="Normal"/>
      </w:pPr>
      <w:r>
        <w:rPr>
          <w:b/>
          <w:color w:val="0F766E"/>
        </w:rPr>
        <w:t xml:space="preserve">2.  </w:t>
      </w:r>
      <w:r>
        <w:t xml:space="preserve">Build bounded point and mirrored pair projections with frozen transforms.</w:t>
      </w:r>
    </w:p>
    <w:p>
      <w:pPr>
        <w:pStyle w:val="Normal"/>
      </w:pPr>
      <w:r>
        <w:rPr>
          <w:b/>
          <w:color w:val="0F766E"/>
        </w:rPr>
        <w:t xml:space="preserve">3.  </w:t>
      </w:r>
      <w:r>
        <w:t xml:space="preserve">Load the actual MeTTa fpMiner and verify unary structure discovery before adding target-aware conjunctions.</w:t>
      </w:r>
    </w:p>
    <w:p>
      <w:pPr>
        <w:pStyle w:val="Normal"/>
      </w:pPr>
      <w:r>
        <w:rPr>
          <w:b/>
          <w:color w:val="0F766E"/>
        </w:rPr>
        <w:t xml:space="preserve">4.  </w:t>
      </w:r>
      <w:r>
        <w:t xml:space="preserve">Recount selected structures on complete closed impressions and emit CTV-estimated rules.</w:t>
      </w:r>
    </w:p>
    <w:p>
      <w:pPr>
        <w:pStyle w:val="Normal"/>
      </w:pPr>
      <w:r>
        <w:rPr>
          <w:b/>
          <w:color w:val="0F766E"/>
        </w:rPr>
        <w:t xml:space="preserve">5.  </w:t>
      </w:r>
      <w:r>
        <w:t xml:space="preserve">Load an isolated PeTTaChainer worker, ground named live facts and verify proof-only ranking.</w:t>
      </w:r>
    </w:p>
    <w:p>
      <w:pPr>
        <w:pStyle w:val="Normal"/>
      </w:pPr>
      <w:r>
        <w:rPr>
          <w:b/>
          <w:color w:val="0F766E"/>
        </w:rPr>
        <w:t xml:space="preserve">6.  </w:t>
      </w:r>
      <w:r>
        <w:t xml:space="preserve">Add dependency clustering, one-way bridges and balanced pairwise ProofRank.</w:t>
      </w:r>
    </w:p>
    <w:p>
      <w:pPr>
        <w:pStyle w:val="Normal"/>
      </w:pPr>
      <w:r>
        <w:rPr>
          <w:b/>
          <w:color w:val="0F766E"/>
        </w:rPr>
        <w:t xml:space="preserve">7.  </w:t>
      </w:r>
      <w:r>
        <w:t xml:space="preserve">Add session ownership, idempotent feedback and private immediate reranking.</w:t>
      </w:r>
    </w:p>
    <w:p>
      <w:pPr>
        <w:pStyle w:val="Normal"/>
      </w:pPr>
      <w:r>
        <w:rPr>
          <w:b/>
          <w:color w:val="0F766E"/>
        </w:rPr>
        <w:t xml:space="preserve">8.  </w:t>
      </w:r>
      <w:r>
        <w:t xml:space="preserve">Add persistent per-plan spaces, support-one caches and exact delta updates.</w:t>
      </w:r>
    </w:p>
    <w:p>
      <w:pPr>
        <w:pStyle w:val="Normal"/>
      </w:pPr>
      <w:r>
        <w:rPr>
          <w:b/>
          <w:color w:val="0F766E"/>
        </w:rPr>
        <w:t xml:space="preserve">9.  </w:t>
      </w:r>
      <w:r>
        <w:t xml:space="preserve">Move builds off the interaction path and atomically promote versioned workers.</w:t>
      </w:r>
    </w:p>
    <w:p>
      <w:pPr>
        <w:pStyle w:val="Normal"/>
      </w:pPr>
      <w:r>
        <w:rPr>
          <w:b/>
          <w:color w:val="0F766E"/>
        </w:rPr>
        <w:t xml:space="preserve">10.  </w:t>
      </w:r>
      <w:r>
        <w:t xml:space="preserve">Introduce N-or-T batching, then evaluate cohort/personal residual tiers and all-MeTTa CTV-estimation/aggregation as separate changes.</w:t>
      </w:r>
    </w:p>
    <w:sectPr>
      <w:footerReference w:type="default" r:id="rIdFooter1"/>
      <w:pgSz w:w="11906" w:h="16838"/>
      <w:pgMar w:top="1134" w:right="1134" w:bottom="1134" w:left="1134" w:header="567" w:footer="567" w:gutter="0"/>
      <w:cols w:space="708"/>
      <w:docGrid w:linePitch="360"/>
    </w:sectPr>
  </w:body>
</w:document>
</file>

<file path=word/footer1.xml><?xml version="1.0" encoding="utf-8"?>
<w:ftr xmlns:w="http://schemas.openxmlformats.org/wordprocessingml/2006/main" xmlns:r="http://schemas.openxmlformats.org/officeDocument/2006/relationships">
  <w:p>
    <w:pPr>
      <w:jc w:val="center"/>
    </w:pPr>
    <w:r>
      <w:rPr>
        <w:color w:val="64748B"/>
        <w:sz w:val="16"/>
        <w:szCs w:val="16"/>
      </w:rPr>
      <w:t xml:space="preserve">Symbolic Recommendation System  •  </w:t>
    </w:r>
    <w:r>
      <w:rPr>
        <w:color w:val="64748B"/>
        <w:sz w:val="16"/>
      </w:rPr>
      <w:fldChar w:fldCharType="begin"/>
    </w:r>
    <w:r>
      <w:instrText xml:space="preserve"> PAGE </w:instrText>
    </w:r>
    <w:r>
      <w:fldChar w:fldCharType="end"/>
    </w:r>
  </w:p>
</w:ft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szCs w:val="21"/>
        <w:lang w:val="en-US"/>
      </w:rPr>
    </w:rPrDefault>
    <w:pPrDefault>
      <w:pPr>
        <w:spacing w:after="150" w:line="276" w:lineRule="auto"/>
      </w:pPr>
    </w:pPrDefault>
  </w:docDefaults>
  <w:style w:type="paragraph" w:default="1" w:styleId="Normal">
    <w:name w:val="Normal"/>
    <w:qFormat/>
    <w:pPr>
      <w:widowControl/>
    </w:pPr>
    <w:rPr>
      <w:color w:val="172033"/>
    </w:rPr>
  </w:style>
  <w:style w:type="paragraph" w:styleId="Title">
    <w:name w:val="Title"/>
    <w:basedOn w:val="Normal"/>
    <w:next w:val="Subtitle"/>
    <w:qFormat/>
    <w:pPr>
      <w:spacing w:before="800" w:after="240"/>
      <w:jc w:val="left"/>
    </w:pPr>
    <w:rPr>
      <w:rFonts w:ascii="Aptos Display" w:hAnsi="Aptos Display"/>
      <w:b/>
      <w:color w:val="0F172A"/>
      <w:sz w:val="44"/>
      <w:szCs w:val="44"/>
    </w:rPr>
  </w:style>
  <w:style w:type="paragraph" w:styleId="Subtitle">
    <w:name w:val="Subtitle"/>
    <w:basedOn w:val="Normal"/>
    <w:next w:val="Normal"/>
    <w:qFormat/>
    <w:pPr>
      <w:spacing w:after="260"/>
    </w:pPr>
    <w:rPr>
      <w:color w:val="475569"/>
      <w:sz w:val="25"/>
      <w:szCs w:val="25"/>
    </w:rPr>
  </w:style>
  <w:style w:type="paragraph" w:styleId="Heading1">
    <w:name w:val="heading 1"/>
    <w:basedOn w:val="Normal"/>
    <w:next w:val="Normal"/>
    <w:qFormat/>
    <w:pPr>
      <w:keepNext/>
      <w:keepLines/>
      <w:pageBreakBefore/>
      <w:spacing w:before="180" w:after="160"/>
      <w:outlineLvl w:val="0"/>
    </w:pPr>
    <w:rPr>
      <w:rFonts w:ascii="Aptos Display" w:hAnsi="Aptos Display"/>
      <w:b/>
      <w:color w:val="0F766E"/>
      <w:sz w:val="31"/>
      <w:szCs w:val="31"/>
    </w:rPr>
  </w:style>
  <w:style w:type="paragraph" w:styleId="Heading2">
    <w:name w:val="heading 2"/>
    <w:basedOn w:val="Normal"/>
    <w:next w:val="Normal"/>
    <w:qFormat/>
    <w:pPr>
      <w:keepNext/>
      <w:keepLines/>
      <w:spacing w:before="260" w:after="110"/>
      <w:outlineLvl w:val="1"/>
    </w:pPr>
    <w:rPr>
      <w:b/>
      <w:color w:val="115E59"/>
      <w:sz w:val="25"/>
      <w:szCs w:val="25"/>
    </w:rPr>
  </w:style>
  <w:style w:type="paragraph" w:styleId="Heading3">
    <w:name w:val="heading 3"/>
    <w:basedOn w:val="Normal"/>
    <w:next w:val="Normal"/>
    <w:qFormat/>
    <w:pPr>
      <w:keepNext/>
      <w:spacing w:before="180" w:after="80"/>
      <w:outlineLvl w:val="2"/>
    </w:pPr>
    <w:rPr>
      <w:b/>
      <w:color w:val="334155"/>
      <w:sz w:val="22"/>
      <w:szCs w:val="22"/>
    </w:rPr>
  </w:style>
  <w:style w:type="paragraph" w:styleId="Quote">
    <w:name w:val="Quote"/>
    <w:basedOn w:val="Normal"/>
    <w:pPr>
      <w:ind w:left="360" w:right="360"/>
      <w:spacing w:before="120" w:after="160"/>
    </w:pPr>
    <w:rPr>
      <w:i/>
      <w:color w:val="334155"/>
      <w:sz w:val="22"/>
    </w:rPr>
  </w:style>
  <w:style w:type="paragraph" w:styleId="Code">
    <w:name w:val="Code"/>
    <w:basedOn w:val="Normal"/>
    <w:rPr>
      <w:rFonts w:ascii="DejaVu Sans Mono" w:hAnsi="DejaVu Sans Mono"/>
      <w:color w:val="0F172A"/>
      <w:sz w:val="18"/>
    </w:rPr>
  </w:style>
  <w:style w:type="paragraph" w:styleId="Caption">
    <w:name w:val="Caption"/>
    <w:basedOn w:val="Normal"/>
    <w:pPr>
      <w:spacing w:after="120"/>
    </w:pPr>
    <w:rPr>
      <w:i/>
      <w:color w:val="64748B"/>
      <w:sz w:val="18"/>
    </w:rPr>
  </w:style>
  <w:style w:type="paragraph" w:styleId="TableText">
    <w:name w:val="Table Text"/>
    <w:basedOn w:val="Normal"/>
    <w:pPr>
      <w:spacing w:after="40" w:line="230" w:lineRule="auto"/>
    </w:pPr>
    <w:rPr>
      <w:sz w:val="19"/>
    </w:rPr>
  </w:style>
  <w:style w:type="paragraph" w:styleId="References">
    <w:name w:val="References"/>
    <w:basedOn w:val="Normal"/>
    <w:pPr>
      <w:spacing w:after="90"/>
    </w:pPr>
    <w:rPr>
      <w:sz w:val="19"/>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Mindplex report generator</Application>
  <DocSecurity>0</DocSecurity>
  <ScaleCrop>false</ScaleCrop>
  <Company>Mindplex</Company>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Symbolic Recommendation System</dc:title>
  <dc:subject>Replication architecture and real-time learning protocol</dc:subject>
  <dc:creator>Mindplex symbolic recommendation project</dc:creator>
  <cp:keywords>recommendation; PeTTa; PeTTaChainer; symbolic reasoning; fpMiner; MIND</cp:keywords>
  <dcterms:created xsi:type="dcterms:W3CDTF">2026-09-10T16:55:17Z</dcterms:created>
  <dcterms:modified xsi:type="dcterms:W3CDTF">2026-09-10T16:55:17Z</dcterms:modified>
</cp:coreProperties>
</file>