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The letter goes into the Letters book with an "Open the letter" button. While any letter (drawer or post) is unopened, the Books button and the Letters tab carry a small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The line says whose news it is and what it is about, so it reads clearly out of context: "News of an exhausted bookshop owner and the butter you made them: The bookshop owner fell asleep in the shop window. Customers left notes." For advice it reads "and your advice to use mint".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