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The exception is week-one ingredients with a single keyword that a first-week recipe needs (nettle shows healing, ash wood shows intuition), so those orders stay solvable.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healing</w:t>
            </w:r>
          </w:p>
        </w:tc>
        <w:tc>
          <w:tcPr>
            <w:tcW w:type="dxa" w:w="4342"/>
          </w:tcPr>
          <w:p>
            <w:r>
              <w:t>—</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intuition</w:t>
            </w:r>
          </w:p>
        </w:tc>
        <w:tc>
          <w:tcPr>
            <w:tcW w:type="dxa" w:w="4342"/>
          </w:tcPr>
          <w:p>
            <w:r>
              <w:t>—</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