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The letter goes into the Letters book with an "Open the letter" button. While any letter (drawer or post) is unopened, the Books button and the Letters tab carry a small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The line says whose news it is and what it is about, so it reads clearly out of context: "News of an exhausted bookshop owner and the butter you made them: The bookshop owner fell asleep in the shop window. Customers left notes." For advice it reads "and your advice to use mint".</w:t>
      </w:r>
      <w:r>
        <w:t xml:space="preserve"> The news always comes first, on its own screen ("Before anything else, they pass on some news:"), and the customer's own request follows only after the player taps "And what can I do for you?", so the two are never read as one.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