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⑴制定保证药品信息来源合法、真实、安全的管理措施；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附件一、1药品信息来源合法、真实、安全管理措施.docx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⑵建立管理机制，明确人员职责，制定保证药品信息来源合法、真实、安全的相应操作流程及相关表单，能够有效控制信息发布、撤回、删除等工作（非药品、医疗器械生产、经营申请单位提供执行情况说明）；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附件二、2管理机制.docx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备注：</w:t>
      </w:r>
      <w:r>
        <w:rPr>
          <w:rFonts w:hint="default"/>
        </w:rPr>
        <w:tab/>
        <w:t>0、</w:t>
      </w:r>
      <w:bookmarkStart w:id="0" w:name="_GoBack"/>
      <w:bookmarkEnd w:id="0"/>
      <w:r>
        <w:rPr>
          <w:rFonts w:hint="default"/>
        </w:rPr>
        <w:t>与药品相关，我们中心除了散瞳药（不会在中心淘宝卖），没有其销售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1、通篇文章都有营运部，目前我们没有这个部门了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附件二里面有《任命书》，里面的人员已故，需要重新确立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附件二里面的《医疗器械采购、收货、验收管理制度》需要重新确认流程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由于资料比较老，所有的流程都需要相关部门重新确认</w:t>
      </w:r>
    </w:p>
    <w:p>
      <w:pPr>
        <w:rPr>
          <w:rFonts w:hint="eastAsia"/>
        </w:rPr>
      </w:pPr>
    </w:p>
    <w:p>
      <w:pP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⑶药品、医疗器械生产申请单位提供发布产品的产品注册证明文件；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⑷药品、医疗器械经营申请单位提供发布产品的相关资质文件；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⑸非药品、医疗器械生产、经营申请单位提供与发布产品相关的申请单位及产品资质文件。</w:t>
      </w:r>
    </w:p>
    <w:p>
      <w:pPr>
        <w:rPr>
          <w:rFonts w:hint="eastAsia"/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⑹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提供涉及药品、医疗器械的法规、政策、信息的来源。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FA7B0"/>
    <w:multiLevelType w:val="singleLevel"/>
    <w:tmpl w:val="5E4FA7B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F3C75"/>
    <w:rsid w:val="3D7F3C75"/>
    <w:rsid w:val="FBF7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2020-02-21T16:20:00Z</dcterms:created>
  <dc:creator>jintao</dc:creator>
  <cp:lastModifiedBy>jintao</cp:lastModifiedBy>
  <dcterms:modified xsi:type="dcterms:W3CDTF">2020-02-21T17:43:49Z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