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电商平台-资质申请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sz w:val="28"/>
          <w:szCs w:val="28"/>
        </w:rPr>
        <w:t>需要做三件事：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  <w:t>第一、营业执照变更经营范围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27256302（营业执照相关）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instrText xml:space="preserve"> HYPERLINK "http://qydj.scjg.tj.gov.cn/reportOnlineService/" </w:instrTex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default" w:ascii="-webkit-standard" w:hAnsi="-webkit-standard" w:eastAsia="-webkit-standard" w:cs="-webkit-standard"/>
          <w:sz w:val="28"/>
          <w:szCs w:val="28"/>
        </w:rPr>
        <w:t>http://qydj.scjg.tj.gov.cn/reportOnlineService/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 （天津市企业登记全程电子化服务平台）变更经营范围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，增加电子售卖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  <w:t>第二、进行网络销售备案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27256302 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（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23229193药械科）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天津市医疗器械企业服务平台：是否有三类医疗器械销售许可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（隐形眼镜算三类）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登陆天津市医疗器械企业服务平台（如果企业信息不全需要补录信息）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在线申请《网络销售备案》，填写后打印下来与以下两个资料一同加盖公章及注明“此件与原件一致”并扫描发送回平台（发送后可联系王女士18622190726帮忙进行下一步操作）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材料一、三方平台认证资质（京东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、饿了么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、美团…)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平台：选自建（自己的网站销售的资质）</w:t>
      </w:r>
    </w:p>
    <w:p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材料二、</w:t>
      </w:r>
      <w:r>
        <w:rPr>
          <w:rFonts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>对网络销售人员培训的资料或试卷</w:t>
      </w:r>
    </w:p>
    <w:p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kern w:val="0"/>
          <w:sz w:val="28"/>
          <w:szCs w:val="28"/>
          <w:lang w:eastAsia="zh-CN" w:bidi="ar"/>
        </w:rPr>
      </w:pPr>
      <w:r>
        <w:rPr>
          <w:rFonts w:ascii="-webkit-standard" w:hAnsi="-webkit-standard" w:eastAsia="-webkit-standard" w:cs="-webkit-standard"/>
          <w:kern w:val="0"/>
          <w:sz w:val="28"/>
          <w:szCs w:val="28"/>
          <w:lang w:eastAsia="zh-CN" w:bidi="ar"/>
        </w:rPr>
        <w:t>（医疗器械网络销售的法规相关）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b/>
          <w:bCs/>
          <w:sz w:val="28"/>
          <w:szCs w:val="28"/>
        </w:rPr>
        <w:t>第三、依靠第三方有网上支付结算资质的平台（类似自助机挂靠银联来生成二维码）-- 例如 银联、易宝、通联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sz w:val="28"/>
          <w:szCs w:val="28"/>
        </w:rPr>
        <w:t>工商局--</w:t>
      </w:r>
      <w:bookmarkStart w:id="0" w:name="_GoBack"/>
      <w:bookmarkEnd w:id="0"/>
      <w:r>
        <w:rPr>
          <w:rFonts w:hint="default" w:ascii="-webkit-standard" w:hAnsi="-webkit-standard" w:eastAsia="-webkit-standard" w:cs="-webkit-standard"/>
          <w:sz w:val="28"/>
          <w:szCs w:val="28"/>
        </w:rPr>
        <w:t>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t xml:space="preserve">PS：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instrText xml:space="preserve"> HYPERLINK "http://health.people.com.cn/n1/2019/0730/c14739-31263607.html" </w:instrTex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default" w:ascii="-webkit-standard" w:hAnsi="-webkit-standard" w:eastAsia="-webkit-standard" w:cs="-webkit-standard"/>
          <w:sz w:val="28"/>
          <w:szCs w:val="28"/>
        </w:rPr>
        <w:t>http://health.people.com.cn/n1/2019/0730/c14739-31263607.html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instrText xml:space="preserve"> HYPERLINK "https://zhuanlan.zhihu.com/p/82783612" </w:instrTex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default" w:ascii="-webkit-standard" w:hAnsi="-webkit-standard" w:eastAsia="-webkit-standard" w:cs="-webkit-standard"/>
          <w:sz w:val="28"/>
          <w:szCs w:val="28"/>
        </w:rPr>
        <w:t>https://zhuanlan.zhihu.com/p/82783612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instrText xml:space="preserve"> HYPERLINK "http://www.sohu.com/a/285137031_120074667" </w:instrTex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default" w:ascii="-webkit-standard" w:hAnsi="-webkit-standard" w:eastAsia="-webkit-standard" w:cs="-webkit-standard"/>
          <w:sz w:val="28"/>
          <w:szCs w:val="28"/>
        </w:rPr>
        <w:t>http://www.sohu.com/a/285137031_120074667</w:t>
      </w:r>
      <w:r>
        <w:rPr>
          <w:rFonts w:hint="default" w:ascii="-webkit-standard" w:hAnsi="-webkit-standard" w:eastAsia="-webkit-standard" w:cs="-webkit-standard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sz w:val="28"/>
          <w:szCs w:val="28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0F77F4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ascii="Microsoft YaHei" w:hAnsi="Microsoft YaHei" w:eastAsia="Microsoft YaHei" w:cs="Microsoft YaHei"/>
          <w:b w:val="0"/>
          <w:i w:val="0"/>
          <w:caps w:val="0"/>
          <w:color w:val="0F77F4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"http://www.med.hc360.com/" \t "/Users/jintao/Documents\\x/_blank" </w:instrText>
      </w:r>
      <w:r>
        <w:rPr>
          <w:rFonts w:ascii="Microsoft YaHei" w:hAnsi="Microsoft YaHei" w:eastAsia="Microsoft YaHei" w:cs="Microsoft YaHei"/>
          <w:b w:val="0"/>
          <w:i w:val="0"/>
          <w:caps w:val="0"/>
          <w:color w:val="0F77F4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Microsoft YaHei" w:hAnsi="Microsoft YaHei" w:eastAsia="Microsoft YaHei" w:cs="Microsoft YaHei"/>
          <w:b w:val="0"/>
          <w:i w:val="0"/>
          <w:caps w:val="0"/>
          <w:color w:val="0F77F4"/>
          <w:spacing w:val="0"/>
          <w:sz w:val="28"/>
          <w:szCs w:val="28"/>
          <w:u w:val="none"/>
        </w:rPr>
        <w:t>医疗器械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F77F4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5F8FD"/>
          <w:lang w:val="en-US" w:eastAsia="zh-CN" w:bidi="ar"/>
        </w:rPr>
        <w:t>经营许可证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kern w:val="0"/>
          <w:sz w:val="28"/>
          <w:szCs w:val="28"/>
          <w:shd w:val="clear" w:fill="F5F8FD"/>
          <w:lang w:val="en-US" w:eastAsia="zh-CN" w:bidi="ar"/>
        </w:rPr>
        <w:t>根据食品药品监督管理局颁布的《医疗器械分类目录》的规定，隐形眼镜、美瞳、护理液是植入体内或长期接触体内的眼科光学器具，属于三类管理类别的医疗器械，依据《医疗器械监督管理条例》和《医疗器械经营监督管理办法》*章第四条规定，经营第三类医疗器械（隐形眼镜及护理液）实行许可管理，应办理《医疗器械经营许可证》才能允许经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2A52"/>
    <w:rsid w:val="256FEFEE"/>
    <w:rsid w:val="3B6FAE6C"/>
    <w:rsid w:val="5AAFAB0D"/>
    <w:rsid w:val="6FEEA886"/>
    <w:rsid w:val="77FD7106"/>
    <w:rsid w:val="7CCF2A52"/>
    <w:rsid w:val="7CDEA759"/>
    <w:rsid w:val="BF1C355E"/>
    <w:rsid w:val="CFFE7011"/>
    <w:rsid w:val="EDFD65C6"/>
    <w:rsid w:val="EFFFF953"/>
    <w:rsid w:val="F9FBC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2020-02-13T22:46:00Z</dcterms:created>
  <dc:creator>jintao</dc:creator>
  <cp:lastModifiedBy>jintao</cp:lastModifiedBy>
  <dcterms:modified xsi:type="dcterms:W3CDTF">2020-02-15T18:23:20Z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