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CAHIER DES CLAUSES TECHNIQUES PARTICULIERES</w:t>
      </w:r>
    </w:p>
    <w:p>
      <w:r>
        <w:t xml:space="preserve">1. Contexte : la collectivite engage un plan pluriannuel de sobriete energetique et souhaite former ses equipes aux enjeux techniques et reglementaires associes.</w:t>
      </w:r>
    </w:p>
    <w:p>
      <w:r>
        <w:t xml:space="preserve">2. Public cible : agents techniques des services batiments, responsables de site, referents energie.</w:t>
      </w:r>
    </w:p>
    <w:p>
      <w:r>
        <w:t xml:space="preserve">Le marche porte sur la formation de 120 agents repartis en 8 sessions de formation.</w:t>
      </w:r>
    </w:p>
    <w:p>
      <w:r>
        <w:t xml:space="preserve">Duree de la formation : 14 heures par session, en presentiel sur les sites de la collectivite, avec possibilite de classe virtuelle pour les modules de sensibilisation.</w:t>
      </w:r>
    </w:p>
    <w:p>
      <w:r>
        <w:t xml:space="preserve">Lieu d'execution : sites de la collectivite, region Ile-de-France.</w:t>
      </w:r>
    </w:p>
    <w:p>
      <w:r>
        <w:t xml:space="preserve">Moyens humains : le prestataire precisera le profil des formateurs mobilises, leur experience du secteur public et leurs references sur des prestations comparables.</w:t>
      </w:r>
    </w:p>
    <w:p>
      <w:r>
        <w:t xml:space="preserve">Le titulaire doit fournir les supports pedagogiques au format numerique accessible.</w:t>
      </w:r>
    </w:p>
    <w:p>
      <w:r>
        <w:t xml:space="preserve">Les themes abordes couvrent l'efficacite energetique des batiments, le photovoltaique en autoconsommation, le pilotage des consommations et la conduite du changement aupres des equipes.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2026-10-30T10:43:58.867Z</dcterms:created>
  <dcterms:modified xsi:type="dcterms:W3CDTF">2026-10-30T10:43:58.867Z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