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2"/>
        <w:tblW w:w="936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4723A692">
        <w:trPr>
          <w:cantSplit/>
        </w:trPr>
        <w:tc>
          <w:tcPr>
            <w:tcW w:w="9360" w:type="dxa"/>
            <w:tcBorders>
              <w:left w:val="single" w:color="D38A19" w:sz="18" w:space="0"/>
            </w:tcBorders>
            <w:shd w:val="clear" w:color="auto" w:fill="FFF7E6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EEF876A">
            <w:pPr>
              <w:spacing w:after="0"/>
            </w:pPr>
            <w:r>
              <w:rPr>
                <w:b/>
                <w:color w:val="A66300"/>
              </w:rPr>
              <w:t xml:space="preserve">共同目标  </w:t>
            </w:r>
            <w:r>
              <w:t>前6小时先把路线评估器做对：给定车辆和路径，能正确输出到达时间、载荷、能耗、碳排放与五项成本。</w:t>
            </w:r>
          </w:p>
        </w:tc>
      </w:tr>
    </w:tbl>
    <w:p w14:paraId="62922113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数据阅读问题如下：</w:t>
      </w:r>
    </w:p>
    <w:p w14:paraId="550B3851">
      <w:pPr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2169 条订单中有 30 个缺失值：14 条缺重量、16 条缺体积。</w:t>
      </w:r>
    </w:p>
    <w:p w14:paraId="6F5AB448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订单只覆盖 88 个客户；编号 1、14、15、17、18、20、21、22、23、96 没有订单。</w:t>
      </w:r>
    </w:p>
    <w:p w14:paraId="120C1A6E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按坐标到市中心 \((0,0)\) 的距离计算，半径 10 km 内只有15个客户，即编号 1–15；其中实际有订单的只有12个。这与题干所说的“30个客户”明显矛盾。</w:t>
      </w:r>
    </w:p>
    <w:p w14:paraId="0161BC73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至少36个客户的汇总重量超过最大车辆载重3000 kg；甚至有2笔单个订单超过3000 kg，最大为5987.05 kg。因此必须允许拆单/拆分配送，或者把超大订单视作异常数据另行处理。</w:t>
      </w:r>
    </w:p>
    <w:p w14:paraId="673B2CCD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排除缺失值后，已知总需求约为285122.65 kg、772.43 m³；仅按载重计算就至少需要96个3000 kg等效车次，载重是主要瓶颈。</w:t>
      </w:r>
    </w:p>
    <w:p w14:paraId="46EB51C9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时间窗最晚到20:58，但题目只给到17:00的速度分布，17:00以后车速需要补充假设。</w:t>
      </w:r>
    </w:p>
    <w:p w14:paraId="0E29CCE5">
      <w:pPr>
        <w:pStyle w:val="3"/>
      </w:pPr>
    </w:p>
    <w:tbl>
      <w:tblPr>
        <w:tblStyle w:val="32"/>
        <w:tblW w:w="9360" w:type="dxa"/>
        <w:tblInd w:w="0" w:type="dxa"/>
        <w:tblBorders>
          <w:top w:val="single" w:color="A9BDD2" w:sz="4" w:space="0"/>
          <w:left w:val="single" w:color="A9BDD2" w:sz="4" w:space="0"/>
          <w:bottom w:val="single" w:color="A9BDD2" w:sz="4" w:space="0"/>
          <w:right w:val="single" w:color="A9BDD2" w:sz="4" w:space="0"/>
          <w:insideH w:val="single" w:color="A9BDD2" w:sz="4" w:space="0"/>
          <w:insideV w:val="single" w:color="A9BDD2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4100"/>
        <w:gridCol w:w="3360"/>
      </w:tblGrid>
      <w:tr w14:paraId="3E19734D">
        <w:tblPrEx>
          <w:tblBorders>
            <w:top w:val="single" w:color="A9BDD2" w:sz="4" w:space="0"/>
            <w:left w:val="single" w:color="A9BDD2" w:sz="4" w:space="0"/>
            <w:bottom w:val="single" w:color="A9BDD2" w:sz="4" w:space="0"/>
            <w:right w:val="single" w:color="A9BDD2" w:sz="4" w:space="0"/>
            <w:insideH w:val="single" w:color="A9BDD2" w:sz="4" w:space="0"/>
            <w:insideV w:val="single" w:color="A9BDD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900" w:type="dxa"/>
            <w:shd w:val="clear" w:color="auto" w:fill="D9E5F2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5730C4E">
            <w:pPr>
              <w:jc w:val="center"/>
            </w:pPr>
            <w:r>
              <w:rPr>
                <w:b/>
                <w:color w:val="1F4D78"/>
              </w:rPr>
              <w:t>角色</w:t>
            </w:r>
          </w:p>
        </w:tc>
        <w:tc>
          <w:tcPr>
            <w:tcW w:w="4100" w:type="dxa"/>
            <w:shd w:val="clear" w:color="auto" w:fill="D9E5F2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D9FF7D4">
            <w:pPr>
              <w:jc w:val="center"/>
            </w:pPr>
            <w:r>
              <w:rPr>
                <w:b/>
                <w:color w:val="1F4D78"/>
              </w:rPr>
              <w:t>主要负责</w:t>
            </w:r>
          </w:p>
        </w:tc>
        <w:tc>
          <w:tcPr>
            <w:tcW w:w="3360" w:type="dxa"/>
            <w:shd w:val="clear" w:color="auto" w:fill="D9E5F2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01746A1">
            <w:pPr>
              <w:jc w:val="center"/>
            </w:pPr>
            <w:r>
              <w:rPr>
                <w:b/>
                <w:color w:val="1F4D78"/>
              </w:rPr>
              <w:t>最先交付</w:t>
            </w:r>
          </w:p>
        </w:tc>
      </w:tr>
      <w:tr w14:paraId="302E26C8">
        <w:tblPrEx>
          <w:tblBorders>
            <w:top w:val="single" w:color="A9BDD2" w:sz="4" w:space="0"/>
            <w:left w:val="single" w:color="A9BDD2" w:sz="4" w:space="0"/>
            <w:bottom w:val="single" w:color="A9BDD2" w:sz="4" w:space="0"/>
            <w:right w:val="single" w:color="A9BDD2" w:sz="4" w:space="0"/>
            <w:insideH w:val="single" w:color="A9BDD2" w:sz="4" w:space="0"/>
            <w:insideV w:val="single" w:color="A9BDD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F22254F">
            <w:pPr>
              <w:spacing w:after="0"/>
            </w:pPr>
            <w:r>
              <w:t>1号：优化实现</w:t>
            </w:r>
          </w:p>
        </w:tc>
        <w:tc>
          <w:tcPr>
            <w:tcW w:w="41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129B0FA">
            <w:pPr>
              <w:spacing w:after="0"/>
            </w:pPr>
            <w:r>
              <w:t>定义解结构和评估器接口；完成初始解、局部搜索与后续求解程序。</w:t>
            </w:r>
          </w:p>
        </w:tc>
        <w:tc>
          <w:tcPr>
            <w:tcW w:w="336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76F5B40">
            <w:pPr>
              <w:spacing w:after="0"/>
            </w:pPr>
            <w:r>
              <w:t>可运行代码骨架与人工样例接口</w:t>
            </w:r>
          </w:p>
        </w:tc>
      </w:tr>
      <w:tr w14:paraId="797E6107">
        <w:tblPrEx>
          <w:tblBorders>
            <w:top w:val="single" w:color="A9BDD2" w:sz="4" w:space="0"/>
            <w:left w:val="single" w:color="A9BDD2" w:sz="4" w:space="0"/>
            <w:bottom w:val="single" w:color="A9BDD2" w:sz="4" w:space="0"/>
            <w:right w:val="single" w:color="A9BDD2" w:sz="4" w:space="0"/>
            <w:insideH w:val="single" w:color="A9BDD2" w:sz="4" w:space="0"/>
            <w:insideV w:val="single" w:color="A9BDD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3333B19">
            <w:pPr>
              <w:spacing w:after="0"/>
            </w:pPr>
            <w:r>
              <w:t>2号：模型验证</w:t>
            </w:r>
          </w:p>
        </w:tc>
        <w:tc>
          <w:tcPr>
            <w:tcW w:w="41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44B5CA4">
            <w:pPr>
              <w:spacing w:after="0"/>
            </w:pPr>
            <w:r>
              <w:t>维护模型口径；整理目标与约束；手算路线并编写评估器测试。</w:t>
            </w:r>
          </w:p>
        </w:tc>
        <w:tc>
          <w:tcPr>
            <w:tcW w:w="336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D1C15D1">
            <w:pPr>
              <w:spacing w:after="0"/>
            </w:pPr>
            <w:r>
              <w:t>model_spec与1/2客户手算用例</w:t>
            </w:r>
          </w:p>
        </w:tc>
      </w:tr>
      <w:tr w14:paraId="6E4A4890">
        <w:tblPrEx>
          <w:tblBorders>
            <w:top w:val="single" w:color="A9BDD2" w:sz="4" w:space="0"/>
            <w:left w:val="single" w:color="A9BDD2" w:sz="4" w:space="0"/>
            <w:bottom w:val="single" w:color="A9BDD2" w:sz="4" w:space="0"/>
            <w:right w:val="single" w:color="A9BDD2" w:sz="4" w:space="0"/>
            <w:insideH w:val="single" w:color="A9BDD2" w:sz="4" w:space="0"/>
            <w:insideV w:val="single" w:color="A9BDD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F467801">
            <w:pPr>
              <w:spacing w:after="0"/>
            </w:pPr>
            <w:r>
              <w:t>3号：数据与整合</w:t>
            </w:r>
          </w:p>
        </w:tc>
        <w:tc>
          <w:tcPr>
            <w:tcW w:w="41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911C9DF">
            <w:pPr>
              <w:spacing w:after="0"/>
            </w:pPr>
            <w:r>
              <w:t>读取附件、审计缺失与异常、聚合并拆分需求；维护实验记录和论文骨架。</w:t>
            </w:r>
          </w:p>
        </w:tc>
        <w:tc>
          <w:tcPr>
            <w:tcW w:w="336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2E3D57A">
            <w:pPr>
              <w:spacing w:after="0"/>
            </w:pPr>
            <w:r>
              <w:t>唯一processed数据与data_audit</w:t>
            </w:r>
          </w:p>
        </w:tc>
      </w:tr>
    </w:tbl>
    <w:p w14:paraId="7DE348E9">
      <w:pPr>
        <w:pStyle w:val="4"/>
      </w:pPr>
      <w:r>
        <w:t>1.1 配合规则</w:t>
      </w:r>
    </w:p>
    <w:p w14:paraId="42BB4142">
      <w:pPr>
        <w:pStyle w:val="16"/>
      </w:pPr>
      <w:r>
        <w:t>3号只生成一套清洗数据；1号不得自行再聚合，2号负责审核处理口径。</w:t>
      </w:r>
    </w:p>
    <w:p w14:paraId="522F382A">
      <w:pPr>
        <w:pStyle w:val="16"/>
      </w:pPr>
      <w:r>
        <w:t>2号规定评估器怎么算，1号负责把它实现得稳定、快速；手算与程序必须逐项一致。</w:t>
      </w:r>
    </w:p>
    <w:p w14:paraId="71D8B797">
      <w:pPr>
        <w:pStyle w:val="16"/>
      </w:pPr>
      <w:r>
        <w:t>所有路线、图表和问题一/二对比统一调用同一个 evaluator.py。</w:t>
      </w:r>
    </w:p>
    <w:p w14:paraId="60BF5396">
      <w:pPr>
        <w:pStyle w:val="16"/>
      </w:pPr>
      <w:r>
        <w:t>论文由3号整合，1号提供算法说明，2号提供模型与假设，三人共同核对最终数字。</w:t>
      </w:r>
    </w:p>
    <w:tbl>
      <w:tblPr>
        <w:tblStyle w:val="32"/>
        <w:tblW w:w="936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41C9D72B">
        <w:trPr>
          <w:cantSplit/>
        </w:trPr>
        <w:tc>
          <w:tcPr>
            <w:tcW w:w="9360" w:type="dxa"/>
            <w:tcBorders>
              <w:left w:val="single" w:color="B91C1C" w:sz="18" w:space="0"/>
            </w:tcBorders>
            <w:shd w:val="clear" w:color="auto" w:fill="FDEEEE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B52EA06">
            <w:pPr>
              <w:spacing w:after="0"/>
            </w:pPr>
          </w:p>
        </w:tc>
      </w:tr>
    </w:tbl>
    <w:p w14:paraId="74D4A65C"/>
    <w:p w14:paraId="3E49CED1">
      <w:pPr>
        <w:pStyle w:val="3"/>
      </w:pPr>
      <w:r>
        <w:t>2. 第一天怎么开始</w:t>
      </w:r>
    </w:p>
    <w:tbl>
      <w:tblPr>
        <w:tblStyle w:val="32"/>
        <w:tblW w:w="9360" w:type="dxa"/>
        <w:tblInd w:w="0" w:type="dxa"/>
        <w:tblBorders>
          <w:top w:val="single" w:color="A9BDD2" w:sz="4" w:space="0"/>
          <w:left w:val="single" w:color="A9BDD2" w:sz="4" w:space="0"/>
          <w:bottom w:val="single" w:color="A9BDD2" w:sz="4" w:space="0"/>
          <w:right w:val="single" w:color="A9BDD2" w:sz="4" w:space="0"/>
          <w:insideH w:val="single" w:color="A9BDD2" w:sz="4" w:space="0"/>
          <w:insideV w:val="single" w:color="A9BDD2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0"/>
        <w:gridCol w:w="1650"/>
        <w:gridCol w:w="4200"/>
        <w:gridCol w:w="2060"/>
      </w:tblGrid>
      <w:tr w14:paraId="38B3CC7E">
        <w:tblPrEx>
          <w:tblBorders>
            <w:top w:val="single" w:color="A9BDD2" w:sz="4" w:space="0"/>
            <w:left w:val="single" w:color="A9BDD2" w:sz="4" w:space="0"/>
            <w:bottom w:val="single" w:color="A9BDD2" w:sz="4" w:space="0"/>
            <w:right w:val="single" w:color="A9BDD2" w:sz="4" w:space="0"/>
            <w:insideH w:val="single" w:color="A9BDD2" w:sz="4" w:space="0"/>
            <w:insideV w:val="single" w:color="A9BDD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450" w:type="dxa"/>
            <w:shd w:val="clear" w:color="auto" w:fill="D9E5F2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3AF5660">
            <w:pPr>
              <w:jc w:val="center"/>
            </w:pPr>
            <w:r>
              <w:rPr>
                <w:b/>
                <w:color w:val="1F4D78"/>
              </w:rPr>
              <w:t>时间</w:t>
            </w:r>
          </w:p>
        </w:tc>
        <w:tc>
          <w:tcPr>
            <w:tcW w:w="1650" w:type="dxa"/>
            <w:shd w:val="clear" w:color="auto" w:fill="D9E5F2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80DCD7C">
            <w:pPr>
              <w:jc w:val="center"/>
            </w:pPr>
            <w:r>
              <w:rPr>
                <w:b/>
                <w:color w:val="1F4D78"/>
              </w:rPr>
              <w:t>负责人</w:t>
            </w:r>
          </w:p>
        </w:tc>
        <w:tc>
          <w:tcPr>
            <w:tcW w:w="4200" w:type="dxa"/>
            <w:shd w:val="clear" w:color="auto" w:fill="D9E5F2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BF8B88">
            <w:pPr>
              <w:jc w:val="center"/>
            </w:pPr>
            <w:r>
              <w:rPr>
                <w:b/>
                <w:color w:val="1F4D78"/>
              </w:rPr>
              <w:t>要做什么</w:t>
            </w:r>
          </w:p>
        </w:tc>
        <w:tc>
          <w:tcPr>
            <w:tcW w:w="2060" w:type="dxa"/>
            <w:shd w:val="clear" w:color="auto" w:fill="D9E5F2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732F2FF">
            <w:pPr>
              <w:jc w:val="center"/>
            </w:pPr>
            <w:r>
              <w:rPr>
                <w:b/>
                <w:color w:val="1F4D78"/>
              </w:rPr>
              <w:t>交付</w:t>
            </w:r>
          </w:p>
        </w:tc>
      </w:tr>
      <w:tr w14:paraId="6E838A18">
        <w:tblPrEx>
          <w:tblBorders>
            <w:top w:val="single" w:color="A9BDD2" w:sz="4" w:space="0"/>
            <w:left w:val="single" w:color="A9BDD2" w:sz="4" w:space="0"/>
            <w:bottom w:val="single" w:color="A9BDD2" w:sz="4" w:space="0"/>
            <w:right w:val="single" w:color="A9BDD2" w:sz="4" w:space="0"/>
            <w:insideH w:val="single" w:color="A9BDD2" w:sz="4" w:space="0"/>
            <w:insideV w:val="single" w:color="A9BDD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CF63912">
            <w:pPr>
              <w:spacing w:after="0"/>
            </w:pPr>
            <w:r>
              <w:t>0-0.5小时</w:t>
            </w:r>
          </w:p>
        </w:tc>
        <w:tc>
          <w:tcPr>
            <w:tcW w:w="165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B37F68A">
            <w:pPr>
              <w:spacing w:after="0"/>
            </w:pPr>
            <w:r>
              <w:t>全员</w:t>
            </w:r>
          </w:p>
        </w:tc>
        <w:tc>
          <w:tcPr>
            <w:tcW w:w="42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FC04380">
            <w:pPr>
              <w:spacing w:after="0"/>
            </w:pPr>
            <w:r>
              <w:t>读题、填角色、统一单位和项目目录。</w:t>
            </w:r>
          </w:p>
        </w:tc>
        <w:tc>
          <w:tcPr>
            <w:tcW w:w="206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8517A38">
            <w:pPr>
              <w:spacing w:after="0"/>
            </w:pPr>
            <w:r>
              <w:t>角色与文件结构</w:t>
            </w:r>
          </w:p>
        </w:tc>
      </w:tr>
      <w:tr w14:paraId="5C48414B">
        <w:tblPrEx>
          <w:tblBorders>
            <w:top w:val="single" w:color="A9BDD2" w:sz="4" w:space="0"/>
            <w:left w:val="single" w:color="A9BDD2" w:sz="4" w:space="0"/>
            <w:bottom w:val="single" w:color="A9BDD2" w:sz="4" w:space="0"/>
            <w:right w:val="single" w:color="A9BDD2" w:sz="4" w:space="0"/>
            <w:insideH w:val="single" w:color="A9BDD2" w:sz="4" w:space="0"/>
            <w:insideV w:val="single" w:color="A9BDD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C92B652">
            <w:pPr>
              <w:spacing w:after="0"/>
            </w:pPr>
            <w:r>
              <w:t>0.5-3小时</w:t>
            </w:r>
          </w:p>
        </w:tc>
        <w:tc>
          <w:tcPr>
            <w:tcW w:w="165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C7F939D">
            <w:pPr>
              <w:spacing w:after="0"/>
            </w:pPr>
            <w:r>
              <w:t>三人并行</w:t>
            </w:r>
          </w:p>
        </w:tc>
        <w:tc>
          <w:tcPr>
            <w:tcW w:w="42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B2C4ADC">
            <w:pPr>
              <w:spacing w:after="0"/>
            </w:pPr>
            <w:r>
              <w:t>1号搭接口；2号写口径和手算；3号完成数据审计与清洗。</w:t>
            </w:r>
          </w:p>
        </w:tc>
        <w:tc>
          <w:tcPr>
            <w:tcW w:w="206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6BB3171">
            <w:pPr>
              <w:spacing w:after="0"/>
            </w:pPr>
            <w:r>
              <w:t>代码骨架+口径+processed数据</w:t>
            </w:r>
          </w:p>
        </w:tc>
      </w:tr>
      <w:tr w14:paraId="5CED3487">
        <w:tblPrEx>
          <w:tblBorders>
            <w:top w:val="single" w:color="A9BDD2" w:sz="4" w:space="0"/>
            <w:left w:val="single" w:color="A9BDD2" w:sz="4" w:space="0"/>
            <w:bottom w:val="single" w:color="A9BDD2" w:sz="4" w:space="0"/>
            <w:right w:val="single" w:color="A9BDD2" w:sz="4" w:space="0"/>
            <w:insideH w:val="single" w:color="A9BDD2" w:sz="4" w:space="0"/>
            <w:insideV w:val="single" w:color="A9BDD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83FC161">
            <w:pPr>
              <w:spacing w:after="0"/>
            </w:pPr>
            <w:r>
              <w:t>3-6小时</w:t>
            </w:r>
          </w:p>
        </w:tc>
        <w:tc>
          <w:tcPr>
            <w:tcW w:w="165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C54B7A0">
            <w:pPr>
              <w:spacing w:after="0"/>
            </w:pPr>
            <w:r>
              <w:t>1号+2号</w:t>
            </w:r>
          </w:p>
        </w:tc>
        <w:tc>
          <w:tcPr>
            <w:tcW w:w="42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0C47F0C">
            <w:pPr>
              <w:spacing w:after="0"/>
            </w:pPr>
            <w:r>
              <w:t>实现并验收 evaluator.py；3号建立结果格式和论文骨架。</w:t>
            </w:r>
          </w:p>
        </w:tc>
        <w:tc>
          <w:tcPr>
            <w:tcW w:w="206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6A56734">
            <w:pPr>
              <w:spacing w:after="0"/>
            </w:pPr>
            <w:r>
              <w:t>手算与程序一致</w:t>
            </w:r>
          </w:p>
        </w:tc>
      </w:tr>
      <w:tr w14:paraId="739C51D8">
        <w:tblPrEx>
          <w:tblBorders>
            <w:top w:val="single" w:color="A9BDD2" w:sz="4" w:space="0"/>
            <w:left w:val="single" w:color="A9BDD2" w:sz="4" w:space="0"/>
            <w:bottom w:val="single" w:color="A9BDD2" w:sz="4" w:space="0"/>
            <w:right w:val="single" w:color="A9BDD2" w:sz="4" w:space="0"/>
            <w:insideH w:val="single" w:color="A9BDD2" w:sz="4" w:space="0"/>
            <w:insideV w:val="single" w:color="A9BDD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6987AD1">
            <w:pPr>
              <w:spacing w:after="0"/>
            </w:pPr>
            <w:r>
              <w:t>6-10小时</w:t>
            </w:r>
          </w:p>
        </w:tc>
        <w:tc>
          <w:tcPr>
            <w:tcW w:w="165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9674CDC">
            <w:pPr>
              <w:spacing w:after="0"/>
            </w:pPr>
            <w:r>
              <w:t>全员</w:t>
            </w:r>
          </w:p>
        </w:tc>
        <w:tc>
          <w:tcPr>
            <w:tcW w:w="42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A3056B5">
            <w:pPr>
              <w:spacing w:after="0"/>
            </w:pPr>
            <w:r>
              <w:t>构造问题一首个可行方案，检查漏单、重复、容量和时间递推。</w:t>
            </w:r>
          </w:p>
        </w:tc>
        <w:tc>
          <w:tcPr>
            <w:tcW w:w="206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0CAEAAF">
            <w:pPr>
              <w:spacing w:after="0"/>
            </w:pPr>
            <w:r>
              <w:t>第一条可行调度方案</w:t>
            </w:r>
          </w:p>
        </w:tc>
      </w:tr>
    </w:tbl>
    <w:p w14:paraId="5C03A0F2">
      <w:pPr>
        <w:pStyle w:val="4"/>
      </w:pPr>
      <w:r>
        <w:t>2.1 开始前必须定下的5件事</w:t>
      </w:r>
    </w:p>
    <w:p w14:paraId="5DB6F7B7">
      <w:pPr>
        <w:pStyle w:val="16"/>
      </w:pPr>
      <w:r>
        <w:t>缺失重量和体积如何补齐，并保留什么敏感性方案。</w:t>
      </w:r>
    </w:p>
    <w:p w14:paraId="67006153">
      <w:pPr>
        <w:pStyle w:val="16"/>
      </w:pPr>
      <w:r>
        <w:t>绿色区按坐标半径计算，如何处理与题面客户数量不一致。</w:t>
      </w:r>
    </w:p>
    <w:p w14:paraId="6BA37732">
      <w:pPr>
        <w:pStyle w:val="16"/>
      </w:pPr>
      <w:r>
        <w:t>大客户与超大订单如何拆分，每次到访是否计20分钟服务。</w:t>
      </w:r>
    </w:p>
    <w:p w14:paraId="2A1F8AFF">
      <w:pPr>
        <w:pStyle w:val="16"/>
      </w:pPr>
      <w:r>
        <w:t>17:00以后车速如何处理，跨交通时段如何分段计算。</w:t>
      </w:r>
    </w:p>
    <w:p w14:paraId="6DAFF684">
      <w:pPr>
        <w:pStyle w:val="16"/>
      </w:pPr>
      <w:r>
        <w:t>问题三默认从问题二合规方案继续动态重调度。</w:t>
      </w:r>
    </w:p>
    <w:p w14:paraId="2F2ED2CF">
      <w:pPr>
        <w:pStyle w:val="3"/>
      </w:pPr>
      <w:r>
        <w:t>3. 三天大致节奏</w:t>
      </w:r>
    </w:p>
    <w:tbl>
      <w:tblPr>
        <w:tblStyle w:val="32"/>
        <w:tblW w:w="9360" w:type="dxa"/>
        <w:tblInd w:w="0" w:type="dxa"/>
        <w:tblBorders>
          <w:top w:val="single" w:color="A9BDD2" w:sz="4" w:space="0"/>
          <w:left w:val="single" w:color="A9BDD2" w:sz="4" w:space="0"/>
          <w:bottom w:val="single" w:color="A9BDD2" w:sz="4" w:space="0"/>
          <w:right w:val="single" w:color="A9BDD2" w:sz="4" w:space="0"/>
          <w:insideH w:val="single" w:color="A9BDD2" w:sz="4" w:space="0"/>
          <w:insideV w:val="single" w:color="A9BDD2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0"/>
        <w:gridCol w:w="4300"/>
        <w:gridCol w:w="3610"/>
      </w:tblGrid>
      <w:tr w14:paraId="4C5F832C">
        <w:tblPrEx>
          <w:tblBorders>
            <w:top w:val="single" w:color="A9BDD2" w:sz="4" w:space="0"/>
            <w:left w:val="single" w:color="A9BDD2" w:sz="4" w:space="0"/>
            <w:bottom w:val="single" w:color="A9BDD2" w:sz="4" w:space="0"/>
            <w:right w:val="single" w:color="A9BDD2" w:sz="4" w:space="0"/>
            <w:insideH w:val="single" w:color="A9BDD2" w:sz="4" w:space="0"/>
            <w:insideV w:val="single" w:color="A9BDD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450" w:type="dxa"/>
            <w:shd w:val="clear" w:color="auto" w:fill="D9E5F2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8B11BFE">
            <w:pPr>
              <w:jc w:val="center"/>
            </w:pPr>
            <w:r>
              <w:rPr>
                <w:b/>
                <w:color w:val="1F4D78"/>
              </w:rPr>
              <w:t>日期</w:t>
            </w:r>
          </w:p>
        </w:tc>
        <w:tc>
          <w:tcPr>
            <w:tcW w:w="4300" w:type="dxa"/>
            <w:shd w:val="clear" w:color="auto" w:fill="D9E5F2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780F697">
            <w:pPr>
              <w:jc w:val="center"/>
            </w:pPr>
            <w:r>
              <w:rPr>
                <w:b/>
                <w:color w:val="1F4D78"/>
              </w:rPr>
              <w:t>核心任务</w:t>
            </w:r>
          </w:p>
        </w:tc>
        <w:tc>
          <w:tcPr>
            <w:tcW w:w="3610" w:type="dxa"/>
            <w:shd w:val="clear" w:color="auto" w:fill="D9E5F2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71711C8">
            <w:pPr>
              <w:jc w:val="center"/>
            </w:pPr>
            <w:r>
              <w:rPr>
                <w:b/>
                <w:color w:val="1F4D78"/>
              </w:rPr>
              <w:t>最低验收</w:t>
            </w:r>
          </w:p>
        </w:tc>
      </w:tr>
      <w:tr w14:paraId="765AE743">
        <w:tblPrEx>
          <w:tblBorders>
            <w:top w:val="single" w:color="A9BDD2" w:sz="4" w:space="0"/>
            <w:left w:val="single" w:color="A9BDD2" w:sz="4" w:space="0"/>
            <w:bottom w:val="single" w:color="A9BDD2" w:sz="4" w:space="0"/>
            <w:right w:val="single" w:color="A9BDD2" w:sz="4" w:space="0"/>
            <w:insideH w:val="single" w:color="A9BDD2" w:sz="4" w:space="0"/>
            <w:insideV w:val="single" w:color="A9BDD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67FF342">
            <w:pPr>
              <w:spacing w:after="0"/>
            </w:pPr>
            <w:r>
              <w:t>第1天</w:t>
            </w:r>
          </w:p>
        </w:tc>
        <w:tc>
          <w:tcPr>
            <w:tcW w:w="43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6CE749E">
            <w:pPr>
              <w:spacing w:after="0"/>
            </w:pPr>
            <w:r>
              <w:t>统一数据口径，完成评估器和问题一首个可行解。</w:t>
            </w:r>
          </w:p>
        </w:tc>
        <w:tc>
          <w:tcPr>
            <w:tcW w:w="361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0104A3A">
            <w:pPr>
              <w:spacing w:after="0"/>
            </w:pPr>
            <w:r>
              <w:t>评估器手算一致、方案可行</w:t>
            </w:r>
          </w:p>
        </w:tc>
      </w:tr>
      <w:tr w14:paraId="6F0EF7C8">
        <w:tblPrEx>
          <w:tblBorders>
            <w:top w:val="single" w:color="A9BDD2" w:sz="4" w:space="0"/>
            <w:left w:val="single" w:color="A9BDD2" w:sz="4" w:space="0"/>
            <w:bottom w:val="single" w:color="A9BDD2" w:sz="4" w:space="0"/>
            <w:right w:val="single" w:color="A9BDD2" w:sz="4" w:space="0"/>
            <w:insideH w:val="single" w:color="A9BDD2" w:sz="4" w:space="0"/>
            <w:insideV w:val="single" w:color="A9BDD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028A0A7">
            <w:pPr>
              <w:spacing w:after="0"/>
            </w:pPr>
            <w:r>
              <w:t>第2天</w:t>
            </w:r>
          </w:p>
        </w:tc>
        <w:tc>
          <w:tcPr>
            <w:tcW w:w="43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5BE6E66">
            <w:pPr>
              <w:spacing w:after="0"/>
            </w:pPr>
            <w:r>
              <w:t>优化问题一；加入绿色区限行并完成问题二对比。</w:t>
            </w:r>
          </w:p>
        </w:tc>
        <w:tc>
          <w:tcPr>
            <w:tcW w:w="361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93A406">
            <w:pPr>
              <w:spacing w:after="0"/>
            </w:pPr>
            <w:r>
              <w:t>Q1/Q2路线与成本表</w:t>
            </w:r>
          </w:p>
        </w:tc>
      </w:tr>
      <w:tr w14:paraId="5D37406C">
        <w:tblPrEx>
          <w:tblBorders>
            <w:top w:val="single" w:color="A9BDD2" w:sz="4" w:space="0"/>
            <w:left w:val="single" w:color="A9BDD2" w:sz="4" w:space="0"/>
            <w:bottom w:val="single" w:color="A9BDD2" w:sz="4" w:space="0"/>
            <w:right w:val="single" w:color="A9BDD2" w:sz="4" w:space="0"/>
            <w:insideH w:val="single" w:color="A9BDD2" w:sz="4" w:space="0"/>
            <w:insideV w:val="single" w:color="A9BDD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93ED81D">
            <w:pPr>
              <w:spacing w:after="0"/>
            </w:pPr>
            <w:r>
              <w:t>第3天</w:t>
            </w:r>
          </w:p>
        </w:tc>
        <w:tc>
          <w:tcPr>
            <w:tcW w:w="43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0A046D5">
            <w:pPr>
              <w:spacing w:after="0"/>
            </w:pPr>
            <w:r>
              <w:t>模拟2类动态事件；整理三问结果并完成论文。</w:t>
            </w:r>
          </w:p>
        </w:tc>
        <w:tc>
          <w:tcPr>
            <w:tcW w:w="361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F21E9AA">
            <w:pPr>
              <w:spacing w:after="0"/>
            </w:pPr>
            <w:r>
              <w:t>三问结果齐全、数字一致</w:t>
            </w:r>
          </w:p>
        </w:tc>
      </w:tr>
    </w:tbl>
    <w:p w14:paraId="76232728">
      <w:pPr>
        <w:spacing w:after="40"/>
      </w:pPr>
      <w:r>
        <w:rPr>
          <w:rFonts w:ascii="Calibri" w:hAnsi="Calibri" w:eastAsia="Noto Sans CJK SC"/>
          <w:b/>
          <w:color w:val="111827"/>
          <w:sz w:val="19"/>
        </w:rPr>
        <w:t>华中杯官方赛题发布通知：</w:t>
      </w:r>
      <w:r>
        <w:fldChar w:fldCharType="begin"/>
      </w:r>
      <w:r>
        <w:instrText xml:space="preserve"> HYPERLINK "https://www.hzbmmc.com/views/award/award-item.html?id=2046861283146293249&amp;navigate=inform" \h </w:instrText>
      </w:r>
      <w:r>
        <w:fldChar w:fldCharType="separate"/>
      </w:r>
      <w:r>
        <w:rPr>
          <w:color w:val="2E74B5"/>
          <w:sz w:val="19"/>
          <w:szCs w:val="19"/>
          <w:u w:val="single"/>
        </w:rPr>
        <w:t>打开链接</w:t>
      </w:r>
      <w:r>
        <w:rPr>
          <w:color w:val="2E74B5"/>
          <w:sz w:val="19"/>
          <w:szCs w:val="19"/>
          <w:u w:val="single"/>
        </w:rPr>
        <w:fldChar w:fldCharType="end"/>
      </w:r>
    </w:p>
    <w:p w14:paraId="5E740642">
      <w:pPr>
        <w:spacing w:after="40"/>
      </w:pPr>
      <w:r>
        <w:rPr>
          <w:rFonts w:ascii="Calibri" w:hAnsi="Calibri" w:eastAsia="Noto Sans CJK SC"/>
          <w:b/>
          <w:color w:val="111827"/>
          <w:sz w:val="19"/>
        </w:rPr>
        <w:t>A题补充说明：</w:t>
      </w:r>
      <w:r>
        <w:fldChar w:fldCharType="begin"/>
      </w:r>
      <w:r>
        <w:instrText xml:space="preserve"> HYPERLINK "https://www.hzbmmc.com/views/award/award-item.html?id=2047508361534988290&amp;navigate=inform" \h </w:instrText>
      </w:r>
      <w:r>
        <w:fldChar w:fldCharType="separate"/>
      </w:r>
      <w:r>
        <w:rPr>
          <w:color w:val="2E74B5"/>
          <w:sz w:val="19"/>
          <w:szCs w:val="19"/>
          <w:u w:val="single"/>
        </w:rPr>
        <w:t>打开链接</w:t>
      </w:r>
      <w:r>
        <w:rPr>
          <w:color w:val="2E74B5"/>
          <w:sz w:val="19"/>
          <w:szCs w:val="19"/>
          <w:u w:val="single"/>
        </w:rPr>
        <w:fldChar w:fldCharType="end"/>
      </w:r>
    </w:p>
    <w:p w14:paraId="3074EF06">
      <w:pPr>
        <w:spacing w:after="40"/>
      </w:pPr>
      <w:r>
        <w:rPr>
          <w:rFonts w:ascii="Calibri" w:hAnsi="Calibri" w:eastAsia="Noto Sans CJK SC"/>
          <w:b/>
          <w:color w:val="111827"/>
          <w:sz w:val="19"/>
        </w:rPr>
        <w:t>Google OR-Tools车辆路径问题文档：</w:t>
      </w:r>
      <w:r>
        <w:fldChar w:fldCharType="begin"/>
      </w:r>
      <w:r>
        <w:instrText xml:space="preserve"> HYPERLINK "https://developers.google.com/optimization/routing/vrp" \h </w:instrText>
      </w:r>
      <w:r>
        <w:fldChar w:fldCharType="separate"/>
      </w:r>
      <w:r>
        <w:rPr>
          <w:color w:val="2E74B5"/>
          <w:sz w:val="19"/>
          <w:szCs w:val="19"/>
          <w:u w:val="single"/>
        </w:rPr>
        <w:t>打开链接</w:t>
      </w:r>
      <w:r>
        <w:rPr>
          <w:color w:val="2E74B5"/>
          <w:sz w:val="19"/>
          <w:szCs w:val="19"/>
          <w:u w:val="single"/>
        </w:rPr>
        <w:fldChar w:fldCharType="end"/>
      </w:r>
    </w:p>
    <w:p w14:paraId="3EFC515C">
      <w:pPr>
        <w:spacing w:after="40"/>
      </w:pPr>
      <w:r>
        <w:rPr>
          <w:rFonts w:ascii="Calibri" w:hAnsi="Calibri" w:eastAsia="Noto Sans CJK SC"/>
          <w:b/>
          <w:color w:val="111827"/>
          <w:sz w:val="19"/>
        </w:rPr>
        <w:t>Google OR-Tools时间窗车辆路径案例：</w:t>
      </w:r>
      <w:r>
        <w:fldChar w:fldCharType="begin"/>
      </w:r>
      <w:r>
        <w:instrText xml:space="preserve"> HYPERLINK "https://developers.google.com/optimization/routing/vrptw" \h </w:instrText>
      </w:r>
      <w:r>
        <w:fldChar w:fldCharType="separate"/>
      </w:r>
      <w:r>
        <w:rPr>
          <w:color w:val="2E74B5"/>
          <w:sz w:val="19"/>
          <w:szCs w:val="19"/>
          <w:u w:val="single"/>
        </w:rPr>
        <w:t>打开链接</w:t>
      </w:r>
      <w:r>
        <w:rPr>
          <w:color w:val="2E74B5"/>
          <w:sz w:val="19"/>
          <w:szCs w:val="19"/>
          <w:u w:val="single"/>
        </w:rPr>
        <w:fldChar w:fldCharType="end"/>
      </w:r>
    </w:p>
    <w:p w14:paraId="1D5E799B">
      <w:pPr>
        <w:spacing w:after="40"/>
      </w:pPr>
      <w:r>
        <w:rPr>
          <w:rFonts w:ascii="Calibri" w:hAnsi="Calibri" w:eastAsia="Noto Sans CJK SC"/>
          <w:b/>
          <w:color w:val="111827"/>
          <w:sz w:val="19"/>
        </w:rPr>
        <w:t>Gurobi学术许可：</w:t>
      </w:r>
      <w:r>
        <w:fldChar w:fldCharType="begin"/>
      </w:r>
      <w:r>
        <w:instrText xml:space="preserve"> HYPERLINK "https://www.gurobi.com/academics" \h </w:instrText>
      </w:r>
      <w:r>
        <w:fldChar w:fldCharType="separate"/>
      </w:r>
      <w:r>
        <w:rPr>
          <w:color w:val="2E74B5"/>
          <w:sz w:val="19"/>
          <w:szCs w:val="19"/>
          <w:u w:val="single"/>
        </w:rPr>
        <w:t>打开链接</w:t>
      </w:r>
      <w:r>
        <w:rPr>
          <w:color w:val="2E74B5"/>
          <w:sz w:val="19"/>
          <w:szCs w:val="19"/>
          <w:u w:val="single"/>
        </w:rPr>
        <w:fldChar w:fldCharType="end"/>
      </w:r>
    </w:p>
    <w:p w14:paraId="5E2ED471"/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5BCF83">
    <w:pPr>
      <w:pStyle w:val="24"/>
      <w:jc w:val="right"/>
    </w:pPr>
    <w:r>
      <w:rPr>
        <w:rFonts w:ascii="Calibri" w:hAnsi="Calibri" w:eastAsia="Noto Sans CJK SC"/>
        <w:color w:val="6B7280"/>
        <w:sz w:val="17"/>
      </w:rPr>
      <w:t xml:space="preserve">执行版  |  第 </w:t>
    </w:r>
    <w:r>
      <w:rPr>
        <w:rFonts w:ascii="Calibri" w:hAnsi="Calibri" w:eastAsia="Noto Sans CJK SC"/>
        <w:color w:val="6B7280"/>
        <w:sz w:val="18"/>
      </w:rPr>
      <w:fldChar w:fldCharType="begin"/>
    </w:r>
    <w:r>
      <w:rPr>
        <w:rFonts w:ascii="Calibri" w:hAnsi="Calibri" w:eastAsia="Noto Sans CJK SC"/>
        <w:color w:val="6B7280"/>
        <w:sz w:val="18"/>
      </w:rPr>
      <w:instrText xml:space="preserve"> PAGE </w:instrText>
    </w:r>
    <w:r>
      <w:rPr>
        <w:rFonts w:ascii="Calibri" w:hAnsi="Calibri" w:eastAsia="Noto Sans CJK SC"/>
        <w:color w:val="6B7280"/>
        <w:sz w:val="18"/>
      </w:rPr>
      <w:fldChar w:fldCharType="end"/>
    </w:r>
    <w:r>
      <w:rPr>
        <w:rFonts w:ascii="Calibri" w:hAnsi="Calibri" w:eastAsia="Noto Sans CJK SC"/>
        <w:color w:val="6B7280"/>
        <w:sz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E7739A">
    <w:pPr>
      <w:pStyle w:val="25"/>
      <w:jc w:val="left"/>
    </w:pPr>
    <w:r>
      <w:rPr>
        <w:rFonts w:ascii="Calibri" w:hAnsi="Calibri" w:eastAsia="Noto Sans CJK SC"/>
        <w:b/>
        <w:color w:val="6B7280"/>
        <w:sz w:val="17"/>
      </w:rPr>
      <w:t>2026 华中杯 A题  |  三人团队启动执行手册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34D3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20" w:line="300" w:lineRule="auto"/>
    </w:pPr>
    <w:rPr>
      <w:rFonts w:ascii="Calibri" w:hAnsi="Calibri" w:eastAsia="Noto Sans CJK SC" w:cstheme="minorBidi"/>
      <w:color w:val="111827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20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80" w:after="14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0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spacing w:after="80" w:line="300" w:lineRule="auto"/>
      <w:contextualSpacing/>
    </w:pPr>
    <w:rPr>
      <w:rFonts w:ascii="Calibri" w:hAnsi="Calibri" w:eastAsia="Noto Sans CJK SC"/>
      <w:sz w:val="22"/>
    </w:r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spacing w:after="80" w:line="300" w:lineRule="auto"/>
      <w:contextualSpacing/>
    </w:pPr>
    <w:rPr>
      <w:rFonts w:ascii="Calibri" w:hAnsi="Calibri" w:eastAsia="Noto Sans CJK SC"/>
      <w:sz w:val="22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spacing w:after="80" w:line="300" w:lineRule="auto"/>
      <w:contextualSpacing/>
    </w:pPr>
    <w:rPr>
      <w:rFonts w:ascii="Calibri" w:hAnsi="Calibri" w:eastAsia="Noto Sans CJK SC"/>
      <w:sz w:val="22"/>
    </w:r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spacing w:after="80" w:line="300" w:lineRule="auto"/>
      <w:contextualSpacing/>
    </w:pPr>
    <w:rPr>
      <w:rFonts w:ascii="Calibri" w:hAnsi="Calibri" w:eastAsia="Noto Sans CJK SC"/>
      <w:sz w:val="22"/>
    </w:r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Code Block"/>
    <w:qFormat/>
    <w:uiPriority w:val="0"/>
    <w:pPr>
      <w:spacing w:before="80" w:after="160" w:line="252" w:lineRule="auto"/>
      <w:ind w:left="173" w:right="173"/>
    </w:pPr>
    <w:rPr>
      <w:rFonts w:ascii="Courier New" w:hAnsi="Courier New" w:eastAsia="Noto Sans CJK SC" w:cstheme="minorBidi"/>
      <w:sz w:val="17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828</Words>
  <Characters>924</Characters>
  <Lines>0</Lines>
  <Paragraphs>0</Paragraphs>
  <TotalTime>22</TotalTime>
  <ScaleCrop>false</ScaleCrop>
  <LinksUpToDate>false</LinksUpToDate>
  <CharactersWithSpaces>938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陈斯宇</dc:creator>
  <dc:description>generated by python-docx</dc:description>
  <cp:keywords>华中杯, 数学建模, 物流调度, ALNS, 团队分工</cp:keywords>
  <cp:lastModifiedBy>陈斯宇</cp:lastModifiedBy>
  <dcterms:modified xsi:type="dcterms:W3CDTF">2026-08-17T11:50:48Z</dcterms:modified>
  <dc:subject>城市绿色物流配送调度：三人分工、启动步骤、技术路线与验收标准</dc:subject>
  <dc:title>2026华中杯A题团队启动执行手册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eyJoZGlkIjoiZjAxYTU2N2NmYjU3NWE1NGZiZGVmMmMyNTc0YTUzNDYiLCJ1c2VySWQiOiIxNzg1MTYwNzcwIn0=</vt:lpwstr>
  </property>
  <property fmtid="{D5CDD505-2E9C-101B-9397-08002B2CF9AE}" pid="3" name="KSOProductBuildVer">
    <vt:lpwstr>2052-12.1.0.28043</vt:lpwstr>
  </property>
  <property fmtid="{D5CDD505-2E9C-101B-9397-08002B2CF9AE}" pid="4" name="ICV">
    <vt:lpwstr>68D47B72E31344148C81953D325A1E4B_12</vt:lpwstr>
  </property>
</Properties>
</file>