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Noto Sans CJK SC" w:hAnsi="Noto Sans CJK SC" w:eastAsia="Noto Sans CJK SC"/>
          <w:b/>
          <w:color w:val="2E74B5"/>
          <w:sz w:val="19"/>
        </w:rPr>
        <w:t>小组推进执行稿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b/>
          <w:color w:val="0B2545"/>
          <w:sz w:val="48"/>
        </w:rPr>
        <w:t>任务一收尾与问题二推进分工</w:t>
      </w:r>
    </w:p>
    <w:p>
      <w:pPr>
        <w:spacing w:before="0" w:after="200" w:line="240" w:lineRule="auto"/>
      </w:pPr>
      <w:r>
        <w:rPr>
          <w:rFonts w:ascii="Noto Sans CJK SC" w:hAnsi="Noto Sans CJK SC" w:eastAsia="Noto Sans CJK SC"/>
          <w:b w:val="0"/>
          <w:color w:val="5F6B76"/>
          <w:sz w:val="20"/>
        </w:rPr>
        <w:t>三人小组｜Q1结果冻结后立即执行｜Python主程序，MATLAB仅用于部分最终绘图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Q1基线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配送规模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Q1总成本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Q2硬指标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38辆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98趟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43,397.26元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政策违规=0</w:t>
            </w:r>
          </w:p>
        </w:tc>
      </w:tr>
    </w:tbl>
    <w:p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4D78"/>
          <w:sz w:val="21"/>
        </w:rPr>
        <w:t>推进原则：</w:t>
      </w:r>
      <w:r>
        <w:rPr>
          <w:rFonts w:ascii="Noto Sans CJK SC" w:hAnsi="Noto Sans CJK SC" w:eastAsia="Noto Sans CJK SC"/>
          <w:b w:val="0"/>
          <w:color w:val="0B2545"/>
          <w:sz w:val="21"/>
        </w:rPr>
        <w:t>问题二不重写成本模型，只在问题一统一评估器上增加绿色区限行硬约束；先修复政策违规，再优化总成本。</w:t>
      </w:r>
    </w:p>
    <w:p>
      <w:pPr>
        <w:pStyle w:val="Heading1"/>
      </w:pPr>
      <w:r>
        <w:t>任务一收尾：冻结可复现基线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00"/>
        <w:gridCol w:w="6060"/>
        <w:gridCol w:w="18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收尾项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结果冻结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锁定Q1配置、随机种子及38辆/98趟、43,397.26元结果；保留成本分解和只读归档。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1号输出，3号归档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可行性复核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统一评估器自动输出漏单、重复、容量、24:00返场和时间明细；不得人工改结果。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2号维护评估器，1号调用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标准输出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summary、routes、arrivals、feasibility、convergence及运行日志齐全。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1号生成，3号登记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模型口径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需求拆分、17:00后速度、载荷率、多趟计费和24点约束写入model_spec并落到评估器。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2号开发并冻结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论文材料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模型/约束可直接入稿，算法与结果可复现，图表可回溯到正式输出。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2号模型，1号算法，3号整合</w:t>
            </w:r>
          </w:p>
        </w:tc>
      </w:tr>
    </w:tbl>
    <w:p>
      <w:pPr>
        <w:pStyle w:val="Heading1"/>
      </w:pPr>
      <w:r>
        <w:t>三人角色边界</w:t>
      </w:r>
    </w:p>
    <w:p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1F4D78"/>
          <w:sz w:val="20"/>
        </w:rPr>
        <w:t>1号｜搜索优化负责人：只负责Q2解的生成与降本，维护路线修复、车型/趟次重排、车辆调度和ALNS搜索；直接调用2号交付的数据实例、政策约束和统一评估接口，不重复处理数据，不另写成本或政策判定。</w:t>
      </w:r>
    </w:p>
    <w:p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1F4D78"/>
          <w:sz w:val="20"/>
        </w:rPr>
        <w:t>2号｜模型与评估开发负责人：负责把清洗数据加工成Q2实例，编写绿色区政策模块并扩展统一评估器，先产出一个确定性可行基线，同时完成Q2数学模型、下界与政策敏感性分析。交付物是1号程序必须调用的代码和数据，不再只是做验收。</w:t>
      </w:r>
    </w:p>
    <w:p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1F4D78"/>
          <w:sz w:val="20"/>
        </w:rPr>
        <w:t>3号｜实验与论文整合：运行1号冻结的正式种子，登记结果并制作图表；把2号的模型分析和1号的算法结果整合进论文，不手工修改核心数字。</w:t>
      </w:r>
    </w:p>
    <w:p>
      <w:r>
        <w:br w:type="page"/>
      </w:r>
    </w:p>
    <w:p>
      <w:pPr>
        <w:pStyle w:val="Heading2"/>
        <w:keepNext/>
      </w:pPr>
      <w:r>
        <w:t>1号与2号模块接口</w:t>
      </w:r>
    </w:p>
    <w:p>
      <w:pPr>
        <w:keepLines/>
        <w:spacing w:after="80"/>
      </w:pPr>
      <w:r>
        <w:rPr>
          <w:b/>
        </w:rPr>
        <w:t>模块A｜2号交Q2实例：从清洗后客户表读取绿色区标记，输出绿色客户清单及Q2实例摘要，核对客户数、需求量、时间窗和距离索引；1号不得在求解器中手工维护客户编号。</w:t>
      </w:r>
    </w:p>
    <w:p>
      <w:pPr>
        <w:keepLines/>
        <w:spacing w:after="80"/>
      </w:pPr>
      <w:r>
        <w:rPr>
          <w:b/>
        </w:rPr>
        <w:t>模块B｜2号交评估与基线：实现policy_q2.py并扩展统一evaluator，使其一次返回总成本、成本分项、政策违规和全部可行性指标；再用“换新能源/调整发车”的确定性规则生成一个违规为0的Q2基线，作为1号搜索起点。</w:t>
      </w:r>
    </w:p>
    <w:p>
      <w:pPr>
        <w:keepLines/>
        <w:spacing w:after="80"/>
      </w:pPr>
      <w:r>
        <w:rPr>
          <w:b/>
        </w:rPr>
        <w:t>模块C｜1号交优化器：只在src/solver中开发绿色区路线修复、车型重选、整趟交换、车辆数搜索和ALNS；所有候选解统一调用2号评估器，以5个固定随机种子产出最低成本合规方案。</w:t>
      </w:r>
    </w:p>
    <w:p>
      <w:pPr>
        <w:keepLines/>
        <w:spacing w:after="80"/>
      </w:pPr>
      <w:r>
        <w:rPr>
          <w:b/>
        </w:rPr>
        <w:t>合并规则：2号的数据实例、policy接口和成本评估是只读依赖；1号不修改这些模块。若接口需要变更，由2号升版并给迁移说明，1号仅调整调用处。</w:t>
      </w:r>
    </w:p>
    <w:p>
      <w:pPr>
        <w:pStyle w:val="Heading1"/>
      </w:pPr>
      <w:r>
        <w:t>问题二启动：绿色区燃油车限行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A9C2D8"/>
          <w:left w:val="single" w:sz="7" w:space="0" w:color="A9C2D8"/>
          <w:bottom w:val="single" w:sz="7" w:space="0" w:color="A9C2D8"/>
          <w:right w:val="single" w:sz="7" w:space="0" w:color="A9C2D8"/>
          <w:insideH w:val="single" w:sz="7" w:space="0" w:color="A9C2D8"/>
          <w:insideV w:val="single" w:sz="7" w:space="0" w:color="A9C2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9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主口径：8:00-16:00期间，燃油车不得到达绿色区客户节点；新能源车不受限制。绿色客户集合由2号从清洗数据标记生成，政策判定由policy_q2.py提供，成本和可行性由统一evaluator返回；最终policy_violation_count必须为0。容量、时间递推和24点返场规则沿用问题一。若“到达/服务时刻”或端点包含关系有歧义，2号冻结主解释并完成替代口径敏感性分析；1号不在求解器中复制判定逻辑。</w:t>
            </w:r>
          </w:p>
        </w:tc>
      </w:tr>
    </w:tbl>
    <w:p>
      <w:pPr>
        <w:pStyle w:val="Heading2"/>
      </w:pPr>
      <w:r>
        <w:t>分工与交付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50"/>
        <w:gridCol w:w="4550"/>
        <w:gridCol w:w="33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立即执行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交付与验收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1号 / 搜索优化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①接入2号Q2实例、policy和evaluator；②开发违规路线修复、车型重选、发车调整、整趟relocate/swap和车辆数搜索；③把这些算子接入ALNS；④运行5个固定种子并选统一评估器总成本最低的合规解。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交付：Q2运行入口、src/solver下的Q2搜索模块、5种子日志、最优路线与收敛记录。完成条件：结果可复现、违规=0、无跨天且优于2号基线。边界：不处理原始数据，不改policy/evaluator。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2号 / 模型评估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①生成绿色客户清单和Q2实例摘要；②实现policy_q2.py并扩展src/model/evaluator.py；③用换新能源和调整发车生成确定性合规基线；④完成Q2变量、目标、约束、理论下界及8:00/16:00替代口径敏感性。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交付：Q2实例表、policy_q2.py、统一评估器Q2扩展、基线路线/成本分解、model_spec的Q2章节及敏感性表。完成条件：1号可通过单一evaluate_solution接口直接评分；基线违规=0且可复现。边界：不写ALNS、不跑5种子调参。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3号 / 实验论文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运行1号冻结的正式配置；登记Q1、2号基线和1号最优解；制作绿色区路线图、车型结构、成本/碳排/准时率对比。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交付：registry、Q1-Q2对照表、核心图表和论文整合稿；模型内容来自2号，算法与结果来自1号，所有数字可回溯。</w:t>
            </w:r>
          </w:p>
        </w:tc>
      </w:tr>
    </w:tbl>
    <w:p>
      <w:pPr>
        <w:pStyle w:val="Heading2"/>
        <w:keepNext/>
        <w:pageBreakBefore/>
      </w:pPr>
      <w:r>
        <w:t>推进节奏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50"/>
        <w:gridCol w:w="2636"/>
        <w:gridCol w:w="2637"/>
        <w:gridCol w:w="2637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1号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2号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3号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0-30分钟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冻结Q1解；定义solver所需输入/输出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生成绿色客户清单；确定policy/evaluator接口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更新Q1基线和登记模板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0.5-2小时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搭建Q2修复算子和运行入口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完成policy_q2与evaluator扩展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准备实验配置和图表字段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2-4小时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接入2号基线并产出首个改进解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生成合规基线、成本分解和Q2模型约束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登记基线与首个改进解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4-6小时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接入ALNS并跑5个固定种子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计算理论下界与端点口径敏感性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汇总最好值、均值和标准差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6-8小时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冻结最低成本解和算法说明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冻结实例、评估器、基线和模型分析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完成图表和Q2论文整合稿</w:t>
            </w:r>
          </w:p>
        </w:tc>
      </w:tr>
    </w:tbl>
    <w:p>
      <w:pPr>
        <w:pStyle w:val="Heading2"/>
      </w:pPr>
      <w:r>
        <w:t>联合质量门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/>
          <w:color w:val="1F4D78"/>
          <w:sz w:val="19"/>
        </w:rPr>
        <w:t>必须同时通过：</w:t>
      </w:r>
      <w:r>
        <w:rPr>
          <w:rFonts w:ascii="Noto Sans CJK SC" w:hAnsi="Noto Sans CJK SC" w:eastAsia="Noto Sans CJK SC"/>
          <w:b w:val="0"/>
          <w:color w:val="0B2545"/>
          <w:sz w:val="19"/>
        </w:rPr>
        <w:t>违规=0、无漏单重复、容量与库存合规、全部24:00前返回，且Q1/Q2共用统一评估器。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F6B76"/>
        <w:sz w:val="17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Noto Sans CJK SC" w:hAnsi="Noto Sans CJK SC" w:eastAsia="Noto Sans CJK SC"/>
        <w:b/>
        <w:color w:val="5F6B76"/>
        <w:sz w:val="17"/>
      </w:rPr>
      <w:t>2026 华中杯 A题｜任务一 → 问题二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Noto Sans CJK SC" w:hAnsi="Noto Sans CJK SC" w:eastAsia="Noto Sans CJK SC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