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b/>
          <w:color w:val="163A5F"/>
          <w:sz w:val="48"/>
        </w:rPr>
        <w:t>华中杯 A题｜三人团队启动分工</w:t>
      </w:r>
    </w:p>
    <w:p>
      <w:pPr>
        <w:spacing w:after="200"/>
      </w:pPr>
      <w:r>
        <w:rPr>
          <w:i/>
          <w:color w:val="6B7280"/>
          <w:sz w:val="22"/>
        </w:rPr>
        <w:t>3天时间 · 只保留最开始怎么着手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FFF7E6"/>
            <w:tcBorders>
              <w:left w:val="single" w:sz="18" w:color="D38A19"/>
            </w:tcBorders>
          </w:tcPr>
          <w:p>
            <w:pPr>
              <w:spacing w:after="0"/>
            </w:pPr>
            <w:r>
              <w:rPr>
                <w:b/>
                <w:color w:val="A66300"/>
              </w:rPr>
              <w:t xml:space="preserve">共同目标  </w:t>
            </w:r>
            <w:r>
              <w:t>前6小时先把路线评估器做对：给定车辆和路径，能正确输出到达时间、载荷、能耗、碳排放与五项成本。</w:t>
            </w:r>
          </w:p>
        </w:tc>
      </w:tr>
    </w:tbl>
    <w:p>
      <w:pPr>
        <w:pStyle w:val="Heading1"/>
      </w:pPr>
      <w:r>
        <w:t>1. 三人怎么分工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color="A9BDD2"/>
          <w:left w:val="single" w:sz="4" w:color="A9BDD2"/>
          <w:bottom w:val="single" w:sz="4" w:color="A9BDD2"/>
          <w:right w:val="single" w:sz="4" w:color="A9BDD2"/>
          <w:insideH w:val="single" w:sz="4" w:color="A9BDD2"/>
          <w:insideV w:val="single" w:sz="4" w:color="A9BDD2"/>
        </w:tblBorders>
      </w:tblPr>
      <w:tblGrid>
        <w:gridCol w:w="1900"/>
        <w:gridCol w:w="4100"/>
        <w:gridCol w:w="3360"/>
      </w:tblGrid>
      <w:tr>
        <w:trPr>
          <w:cantSplit/>
          <w:tblHeader/>
        </w:trPr>
        <w:tc>
          <w:tcPr>
            <w:tcW w:type="dxa" w:w="19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D9E5F2"/>
          </w:tcPr>
          <w:p>
            <w:pPr>
              <w:jc w:val="center"/>
            </w:pPr>
            <w:r>
              <w:rPr>
                <w:b/>
                <w:color w:val="1F4D78"/>
              </w:rPr>
              <w:t>角色</w:t>
            </w:r>
          </w:p>
        </w:tc>
        <w:tc>
          <w:tcPr>
            <w:tcW w:type="dxa" w:w="41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D9E5F2"/>
          </w:tcPr>
          <w:p>
            <w:pPr>
              <w:jc w:val="center"/>
            </w:pPr>
            <w:r>
              <w:rPr>
                <w:b/>
                <w:color w:val="1F4D78"/>
              </w:rPr>
              <w:t>主要负责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D9E5F2"/>
          </w:tcPr>
          <w:p>
            <w:pPr>
              <w:jc w:val="center"/>
            </w:pPr>
            <w:r>
              <w:rPr>
                <w:b/>
                <w:color w:val="1F4D78"/>
              </w:rPr>
              <w:t>最先交付</w:t>
            </w:r>
          </w:p>
        </w:tc>
      </w:tr>
      <w:tr>
        <w:trPr>
          <w:cantSplit/>
        </w:trPr>
        <w:tc>
          <w:tcPr>
            <w:tcW w:type="dxa" w:w="19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1号：优化实现</w:t>
            </w:r>
          </w:p>
        </w:tc>
        <w:tc>
          <w:tcPr>
            <w:tcW w:type="dxa" w:w="41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定义解结构和评估器接口；完成初始解、局部搜索与后续求解程序。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可运行代码骨架与人工样例接口</w:t>
            </w:r>
          </w:p>
        </w:tc>
      </w:tr>
      <w:tr>
        <w:trPr>
          <w:cantSplit/>
        </w:trPr>
        <w:tc>
          <w:tcPr>
            <w:tcW w:type="dxa" w:w="19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2号：模型验证</w:t>
            </w:r>
          </w:p>
        </w:tc>
        <w:tc>
          <w:tcPr>
            <w:tcW w:type="dxa" w:w="41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维护模型口径；整理目标与约束；手算路线并编写评估器测试。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model_spec与1/2客户手算用例</w:t>
            </w:r>
          </w:p>
        </w:tc>
      </w:tr>
      <w:tr>
        <w:trPr>
          <w:cantSplit/>
        </w:trPr>
        <w:tc>
          <w:tcPr>
            <w:tcW w:type="dxa" w:w="19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3号：数据与整合</w:t>
            </w:r>
          </w:p>
        </w:tc>
        <w:tc>
          <w:tcPr>
            <w:tcW w:type="dxa" w:w="41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读取附件、审计缺失与异常、聚合并拆分需求；维护实验记录和论文骨架。</w:t>
            </w:r>
          </w:p>
        </w:tc>
        <w:tc>
          <w:tcPr>
            <w:tcW w:type="dxa" w:w="3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唯一processed数据与data_audit</w:t>
            </w:r>
          </w:p>
        </w:tc>
      </w:tr>
    </w:tbl>
    <w:p>
      <w:pPr>
        <w:pStyle w:val="Heading2"/>
      </w:pPr>
      <w:r>
        <w:t>1.1 配合规则</w:t>
      </w:r>
    </w:p>
    <w:p>
      <w:pPr>
        <w:pStyle w:val="ListBullet"/>
      </w:pPr>
      <w:r>
        <w:t>3号只生成一套清洗数据；1号不得自行再聚合，2号负责审核处理口径。</w:t>
      </w:r>
    </w:p>
    <w:p>
      <w:pPr>
        <w:pStyle w:val="ListBullet"/>
      </w:pPr>
      <w:r>
        <w:t>2号规定评估器怎么算，1号负责把它实现得稳定、快速；手算与程序必须逐项一致。</w:t>
      </w:r>
    </w:p>
    <w:p>
      <w:pPr>
        <w:pStyle w:val="ListBullet"/>
      </w:pPr>
      <w:r>
        <w:t>所有路线、图表和问题一/二对比统一调用同一个 evaluator.py。</w:t>
      </w:r>
    </w:p>
    <w:p>
      <w:pPr>
        <w:pStyle w:val="ListBullet"/>
      </w:pPr>
      <w:r>
        <w:t>论文由3号整合，1号提供算法说明，2号提供模型与假设，三人共同核对最终数字。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FDEEEE"/>
            <w:tcBorders>
              <w:left w:val="single" w:sz="18" w:color="B91C1C"/>
            </w:tcBorders>
          </w:tcPr>
          <w:p>
            <w:pPr>
              <w:spacing w:after="0"/>
            </w:pPr>
            <w:r>
              <w:rPr>
                <w:b/>
                <w:color w:val="A66300"/>
              </w:rPr>
              <w:t xml:space="preserve">不要重复劳动  </w:t>
            </w:r>
            <w:r>
              <w:t>原始Excel只读；成本只算一套；先做对评估器，再写ALNS。</w:t>
            </w:r>
          </w:p>
        </w:tc>
      </w:tr>
    </w:tbl>
    <w:p>
      <w:r>
        <w:br w:type="page"/>
      </w:r>
    </w:p>
    <w:p>
      <w:pPr>
        <w:pStyle w:val="Heading1"/>
      </w:pPr>
      <w:r>
        <w:t>2. 第一天怎么开始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color="A9BDD2"/>
          <w:left w:val="single" w:sz="4" w:color="A9BDD2"/>
          <w:bottom w:val="single" w:sz="4" w:color="A9BDD2"/>
          <w:right w:val="single" w:sz="4" w:color="A9BDD2"/>
          <w:insideH w:val="single" w:sz="4" w:color="A9BDD2"/>
          <w:insideV w:val="single" w:sz="4" w:color="A9BDD2"/>
        </w:tblBorders>
      </w:tblPr>
      <w:tblGrid>
        <w:gridCol w:w="1450"/>
        <w:gridCol w:w="1650"/>
        <w:gridCol w:w="4200"/>
        <w:gridCol w:w="2060"/>
      </w:tblGrid>
      <w:tr>
        <w:trPr>
          <w:cantSplit/>
          <w:tblHeader/>
        </w:trPr>
        <w:tc>
          <w:tcPr>
            <w:tcW w:type="dxa" w:w="145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D9E5F2"/>
          </w:tcPr>
          <w:p>
            <w:pPr>
              <w:jc w:val="center"/>
            </w:pPr>
            <w:r>
              <w:rPr>
                <w:b/>
                <w:color w:val="1F4D78"/>
              </w:rPr>
              <w:t>时间</w:t>
            </w:r>
          </w:p>
        </w:tc>
        <w:tc>
          <w:tcPr>
            <w:tcW w:type="dxa" w:w="165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D9E5F2"/>
          </w:tcPr>
          <w:p>
            <w:pPr>
              <w:jc w:val="center"/>
            </w:pPr>
            <w:r>
              <w:rPr>
                <w:b/>
                <w:color w:val="1F4D78"/>
              </w:rPr>
              <w:t>负责人</w:t>
            </w:r>
          </w:p>
        </w:tc>
        <w:tc>
          <w:tcPr>
            <w:tcW w:type="dxa" w:w="42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D9E5F2"/>
          </w:tcPr>
          <w:p>
            <w:pPr>
              <w:jc w:val="center"/>
            </w:pPr>
            <w:r>
              <w:rPr>
                <w:b/>
                <w:color w:val="1F4D78"/>
              </w:rPr>
              <w:t>要做什么</w:t>
            </w:r>
          </w:p>
        </w:tc>
        <w:tc>
          <w:tcPr>
            <w:tcW w:type="dxa" w:w="20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D9E5F2"/>
          </w:tcPr>
          <w:p>
            <w:pPr>
              <w:jc w:val="center"/>
            </w:pPr>
            <w:r>
              <w:rPr>
                <w:b/>
                <w:color w:val="1F4D78"/>
              </w:rPr>
              <w:t>交付</w:t>
            </w:r>
          </w:p>
        </w:tc>
      </w:tr>
      <w:tr>
        <w:trPr>
          <w:cantSplit/>
        </w:trPr>
        <w:tc>
          <w:tcPr>
            <w:tcW w:type="dxa" w:w="145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0-0.5小时</w:t>
            </w:r>
          </w:p>
        </w:tc>
        <w:tc>
          <w:tcPr>
            <w:tcW w:type="dxa" w:w="165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全员</w:t>
            </w:r>
          </w:p>
        </w:tc>
        <w:tc>
          <w:tcPr>
            <w:tcW w:type="dxa" w:w="42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读题、填角色、统一单位和项目目录。</w:t>
            </w:r>
          </w:p>
        </w:tc>
        <w:tc>
          <w:tcPr>
            <w:tcW w:type="dxa" w:w="20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角色与文件结构</w:t>
            </w:r>
          </w:p>
        </w:tc>
      </w:tr>
      <w:tr>
        <w:trPr>
          <w:cantSplit/>
        </w:trPr>
        <w:tc>
          <w:tcPr>
            <w:tcW w:type="dxa" w:w="145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0.5-3小时</w:t>
            </w:r>
          </w:p>
        </w:tc>
        <w:tc>
          <w:tcPr>
            <w:tcW w:type="dxa" w:w="165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三人并行</w:t>
            </w:r>
          </w:p>
        </w:tc>
        <w:tc>
          <w:tcPr>
            <w:tcW w:type="dxa" w:w="42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1号搭接口；2号写口径和手算；3号完成数据审计与清洗。</w:t>
            </w:r>
          </w:p>
        </w:tc>
        <w:tc>
          <w:tcPr>
            <w:tcW w:type="dxa" w:w="20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代码骨架+口径+processed数据</w:t>
            </w:r>
          </w:p>
        </w:tc>
      </w:tr>
      <w:tr>
        <w:trPr>
          <w:cantSplit/>
        </w:trPr>
        <w:tc>
          <w:tcPr>
            <w:tcW w:type="dxa" w:w="145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3-6小时</w:t>
            </w:r>
          </w:p>
        </w:tc>
        <w:tc>
          <w:tcPr>
            <w:tcW w:type="dxa" w:w="165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1号+2号</w:t>
            </w:r>
          </w:p>
        </w:tc>
        <w:tc>
          <w:tcPr>
            <w:tcW w:type="dxa" w:w="42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实现并验收 evaluator.py；3号建立结果格式和论文骨架。</w:t>
            </w:r>
          </w:p>
        </w:tc>
        <w:tc>
          <w:tcPr>
            <w:tcW w:type="dxa" w:w="20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手算与程序一致</w:t>
            </w:r>
          </w:p>
        </w:tc>
      </w:tr>
      <w:tr>
        <w:trPr>
          <w:cantSplit/>
        </w:trPr>
        <w:tc>
          <w:tcPr>
            <w:tcW w:type="dxa" w:w="145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6-10小时</w:t>
            </w:r>
          </w:p>
        </w:tc>
        <w:tc>
          <w:tcPr>
            <w:tcW w:type="dxa" w:w="165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全员</w:t>
            </w:r>
          </w:p>
        </w:tc>
        <w:tc>
          <w:tcPr>
            <w:tcW w:type="dxa" w:w="42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构造问题一首个可行方案，检查漏单、重复、容量和时间递推。</w:t>
            </w:r>
          </w:p>
        </w:tc>
        <w:tc>
          <w:tcPr>
            <w:tcW w:type="dxa" w:w="20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第一条可行调度方案</w:t>
            </w:r>
          </w:p>
        </w:tc>
      </w:tr>
    </w:tbl>
    <w:p>
      <w:pPr>
        <w:pStyle w:val="Heading2"/>
      </w:pPr>
      <w:r>
        <w:t>2.1 开始前必须定下的5件事</w:t>
      </w:r>
    </w:p>
    <w:p>
      <w:pPr>
        <w:pStyle w:val="ListBullet"/>
      </w:pPr>
      <w:r>
        <w:t>缺失重量和体积如何补齐，并保留什么敏感性方案。</w:t>
      </w:r>
    </w:p>
    <w:p>
      <w:pPr>
        <w:pStyle w:val="ListBullet"/>
      </w:pPr>
      <w:r>
        <w:t>绿色区按坐标半径计算，如何处理与题面客户数量不一致。</w:t>
      </w:r>
    </w:p>
    <w:p>
      <w:pPr>
        <w:pStyle w:val="ListBullet"/>
      </w:pPr>
      <w:r>
        <w:t>大客户与超大订单如何拆分，每次到访是否计20分钟服务。</w:t>
      </w:r>
    </w:p>
    <w:p>
      <w:pPr>
        <w:pStyle w:val="ListBullet"/>
      </w:pPr>
      <w:r>
        <w:t>17:00以后车速如何处理，跨交通时段如何分段计算。</w:t>
      </w:r>
    </w:p>
    <w:p>
      <w:pPr>
        <w:pStyle w:val="ListBullet"/>
      </w:pPr>
      <w:r>
        <w:t>问题三默认从问题二合规方案继续动态重调度。</w:t>
      </w:r>
    </w:p>
    <w:p>
      <w:pPr>
        <w:pStyle w:val="Heading1"/>
      </w:pPr>
      <w:r>
        <w:t>3. 三天大致节奏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color="A9BDD2"/>
          <w:left w:val="single" w:sz="4" w:color="A9BDD2"/>
          <w:bottom w:val="single" w:sz="4" w:color="A9BDD2"/>
          <w:right w:val="single" w:sz="4" w:color="A9BDD2"/>
          <w:insideH w:val="single" w:sz="4" w:color="A9BDD2"/>
          <w:insideV w:val="single" w:sz="4" w:color="A9BDD2"/>
        </w:tblBorders>
      </w:tblPr>
      <w:tblGrid>
        <w:gridCol w:w="1450"/>
        <w:gridCol w:w="4300"/>
        <w:gridCol w:w="3610"/>
      </w:tblGrid>
      <w:tr>
        <w:trPr>
          <w:cantSplit/>
          <w:tblHeader/>
        </w:trPr>
        <w:tc>
          <w:tcPr>
            <w:tcW w:type="dxa" w:w="145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D9E5F2"/>
          </w:tcPr>
          <w:p>
            <w:pPr>
              <w:jc w:val="center"/>
            </w:pPr>
            <w:r>
              <w:rPr>
                <w:b/>
                <w:color w:val="1F4D78"/>
              </w:rPr>
              <w:t>日期</w:t>
            </w:r>
          </w:p>
        </w:tc>
        <w:tc>
          <w:tcPr>
            <w:tcW w:type="dxa" w:w="43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D9E5F2"/>
          </w:tcPr>
          <w:p>
            <w:pPr>
              <w:jc w:val="center"/>
            </w:pPr>
            <w:r>
              <w:rPr>
                <w:b/>
                <w:color w:val="1F4D78"/>
              </w:rPr>
              <w:t>核心任务</w:t>
            </w:r>
          </w:p>
        </w:tc>
        <w:tc>
          <w:tcPr>
            <w:tcW w:type="dxa" w:w="361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D9E5F2"/>
          </w:tcPr>
          <w:p>
            <w:pPr>
              <w:jc w:val="center"/>
            </w:pPr>
            <w:r>
              <w:rPr>
                <w:b/>
                <w:color w:val="1F4D78"/>
              </w:rPr>
              <w:t>最低验收</w:t>
            </w:r>
          </w:p>
        </w:tc>
      </w:tr>
      <w:tr>
        <w:trPr>
          <w:cantSplit/>
        </w:trPr>
        <w:tc>
          <w:tcPr>
            <w:tcW w:type="dxa" w:w="145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第1天</w:t>
            </w:r>
          </w:p>
        </w:tc>
        <w:tc>
          <w:tcPr>
            <w:tcW w:type="dxa" w:w="43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统一数据口径，完成评估器和问题一首个可行解。</w:t>
            </w:r>
          </w:p>
        </w:tc>
        <w:tc>
          <w:tcPr>
            <w:tcW w:type="dxa" w:w="361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评估器手算一致、方案可行</w:t>
            </w:r>
          </w:p>
        </w:tc>
      </w:tr>
      <w:tr>
        <w:trPr>
          <w:cantSplit/>
        </w:trPr>
        <w:tc>
          <w:tcPr>
            <w:tcW w:type="dxa" w:w="145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第2天</w:t>
            </w:r>
          </w:p>
        </w:tc>
        <w:tc>
          <w:tcPr>
            <w:tcW w:type="dxa" w:w="43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优化问题一；加入绿色区限行并完成问题二对比。</w:t>
            </w:r>
          </w:p>
        </w:tc>
        <w:tc>
          <w:tcPr>
            <w:tcW w:type="dxa" w:w="361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Q1/Q2路线与成本表</w:t>
            </w:r>
          </w:p>
        </w:tc>
      </w:tr>
      <w:tr>
        <w:trPr>
          <w:cantSplit/>
        </w:trPr>
        <w:tc>
          <w:tcPr>
            <w:tcW w:type="dxa" w:w="145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第3天</w:t>
            </w:r>
          </w:p>
        </w:tc>
        <w:tc>
          <w:tcPr>
            <w:tcW w:type="dxa" w:w="43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模拟2类动态事件；整理三问结果并完成论文。</w:t>
            </w:r>
          </w:p>
        </w:tc>
        <w:tc>
          <w:tcPr>
            <w:tcW w:type="dxa" w:w="361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t>三问结果齐全、数字一致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Noto Sans CJK SC"/>
        <w:color w:val="6B7280"/>
        <w:sz w:val="17"/>
      </w:rPr>
      <w:t xml:space="preserve">执行版  |  第 </w:t>
    </w:r>
    <w:r>
      <w:rPr>
        <w:rFonts w:ascii="Calibri" w:hAnsi="Calibri" w:eastAsia="Noto Sans CJK SC"/>
        <w:color w:val="6B7280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Noto Sans CJK SC"/>
        <w:color w:val="6B72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Noto Sans CJK SC"/>
        <w:b/>
        <w:color w:val="6B7280"/>
        <w:sz w:val="17"/>
      </w:rPr>
      <w:t>2026 华中杯 A题  |  三人团队启动执行手册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Noto Sans CJK SC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Noto Sans CJK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Noto Sans CJK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Noto Sans CJK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 w:eastAsia="Noto Sans CJK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300" w:lineRule="auto"/>
      <w:contextualSpacing/>
    </w:pPr>
    <w:rPr>
      <w:rFonts w:ascii="Calibri" w:hAnsi="Calibri" w:eastAsia="Noto Sans CJK SC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 w:eastAsia="Noto Sans CJK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300" w:lineRule="auto"/>
      <w:contextualSpacing/>
    </w:pPr>
    <w:rPr>
      <w:rFonts w:ascii="Calibri" w:hAnsi="Calibri" w:eastAsia="Noto Sans CJK SC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60" w:line="252" w:lineRule="auto"/>
      <w:ind w:left="173" w:right="173"/>
    </w:pPr>
    <w:rPr>
      <w:rFonts w:ascii="Courier New" w:hAnsi="Courier New" w:eastAsia="Noto Sans CJK S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hzbmmc.com/views/award/award-item.html?id=2046861283146293249&amp;navigate=inform" TargetMode="External"/><Relationship Id="rId12" Type="http://schemas.openxmlformats.org/officeDocument/2006/relationships/hyperlink" Target="https://www.hzbmmc.com/views/award/award-item.html?id=2047508361534988290&amp;navigate=inform" TargetMode="External"/><Relationship Id="rId13" Type="http://schemas.openxmlformats.org/officeDocument/2006/relationships/hyperlink" Target="https://developers.google.com/optimization/routing/vrp" TargetMode="External"/><Relationship Id="rId14" Type="http://schemas.openxmlformats.org/officeDocument/2006/relationships/hyperlink" Target="https://developers.google.com/optimization/routing/vrptw" TargetMode="External"/><Relationship Id="rId15" Type="http://schemas.openxmlformats.org/officeDocument/2006/relationships/hyperlink" Target="https://www.gurobi.com/academ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2026华中杯A题团队启动执行手册</dc:title>
  <dc:subject>城市绿色物流配送调度：三人分工、启动步骤、技术路线与验收标准</dc:subject>
  <dc:creator/>
  <cp:keywords>华中杯, 数学建模, 物流调度, ALNS, 团队分工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