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360" w:type="dxa"/>
        <w:tblInd w:w="120" w:type="dxa"/>
        <w:tblBorders>
          <w:top w:val="single" w:color="D5DEE7" w:sz="4" w:space="0"/>
          <w:left w:val="single" w:color="D5DEE7" w:sz="4" w:space="0"/>
          <w:bottom w:val="single" w:color="D5DEE7" w:sz="4" w:space="0"/>
          <w:right w:val="single" w:color="D5DEE7" w:sz="4" w:space="0"/>
          <w:insideH w:val="single" w:color="D5DEE7" w:sz="4" w:space="0"/>
          <w:insideV w:val="single" w:color="D5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C26BD26">
        <w:tblPrEx>
          <w:tblBorders>
            <w:top w:val="single" w:color="D5DEE7" w:sz="4" w:space="0"/>
            <w:left w:val="single" w:color="D5DEE7" w:sz="4" w:space="0"/>
            <w:bottom w:val="single" w:color="D5DEE7" w:sz="4" w:space="0"/>
            <w:right w:val="single" w:color="D5DEE7" w:sz="4" w:space="0"/>
            <w:insideH w:val="single" w:color="D5DEE7" w:sz="4" w:space="0"/>
            <w:insideV w:val="single" w:color="D5DEE7" w:sz="4" w:space="0"/>
          </w:tblBorders>
        </w:tblPrEx>
        <w:trPr>
          <w:tblHeader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F9B0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Q1基线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F297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配送规模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A425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Q1总成本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2C3E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最晚返场</w:t>
            </w:r>
          </w:p>
        </w:tc>
      </w:tr>
      <w:tr w14:paraId="71F04455">
        <w:tblPrEx>
          <w:tblBorders>
            <w:top w:val="single" w:color="D5DEE7" w:sz="4" w:space="0"/>
            <w:left w:val="single" w:color="D5DEE7" w:sz="4" w:space="0"/>
            <w:bottom w:val="single" w:color="D5DEE7" w:sz="4" w:space="0"/>
            <w:right w:val="single" w:color="D5DEE7" w:sz="4" w:space="0"/>
            <w:insideH w:val="single" w:color="D5DEE7" w:sz="4" w:space="0"/>
            <w:insideV w:val="single" w:color="D5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CC7D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38辆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127F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98趟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756B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43,397.26元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2B94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2545"/>
                <w:sz w:val="22"/>
              </w:rPr>
              <w:t>约23:59:17</w:t>
            </w:r>
          </w:p>
        </w:tc>
      </w:tr>
    </w:tbl>
    <w:p w14:paraId="593024C6">
      <w:pPr>
        <w:spacing w:before="160" w:after="120" w:line="276" w:lineRule="auto"/>
      </w:pPr>
      <w:r>
        <w:rPr>
          <w:rFonts w:ascii="Noto Sans CJK SC" w:hAnsi="Noto Sans CJK SC" w:eastAsia="Noto Sans CJK SC"/>
          <w:b/>
          <w:color w:val="1F4D78"/>
          <w:sz w:val="21"/>
        </w:rPr>
        <w:t>推进顺序：先完成并冻结任务一的代码、模型、结果与论文材料；任务一收尾通过后，再从下一节正式启动问题二。</w:t>
      </w:r>
    </w:p>
    <w:p w14:paraId="145BCBC8">
      <w:pPr>
        <w:pStyle w:val="3"/>
      </w:pPr>
      <w:r>
        <w:t>任务一收尾：冻结可复现基线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6060"/>
        <w:gridCol w:w="1800"/>
      </w:tblGrid>
      <w:tr w14:paraId="04DB2D1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830E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收尾项</w:t>
            </w:r>
          </w:p>
        </w:tc>
        <w:tc>
          <w:tcPr>
            <w:tcW w:w="6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144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完成标准</w:t>
            </w:r>
          </w:p>
        </w:tc>
        <w:tc>
          <w:tcPr>
            <w:tcW w:w="1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3AE8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</w:tr>
      <w:tr w14:paraId="2FDBE83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EE45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结果冻结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9309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锁定Q1配置、随机种子及38辆/98趟、43,397.26元结果；保留成本分解和只读归档。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F21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1号输出，3号归档</w:t>
            </w:r>
          </w:p>
        </w:tc>
      </w:tr>
      <w:tr w14:paraId="661ABC8F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0765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可行性复核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70B0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统一评估器自动输出漏单、重复、容量、24:00返场和时间明细；不得人工改结果。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69D4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2号维护评估器，1号调用</w:t>
            </w:r>
          </w:p>
        </w:tc>
      </w:tr>
      <w:tr w14:paraId="113B3D3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24EA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标准输出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521C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summary、routes、arrivals、feasibility、convergence及运行日志齐全。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C31A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1号生成，3号登记</w:t>
            </w:r>
          </w:p>
        </w:tc>
      </w:tr>
      <w:tr w14:paraId="6AD5F5B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36D7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模型口径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99D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需求拆分、17:00后速度、载荷率、多趟计费和24点约束写入model_spec并落到评估器。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8779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2号开发并冻结</w:t>
            </w:r>
          </w:p>
        </w:tc>
      </w:tr>
      <w:tr w14:paraId="137639F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E92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论文材料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7E3F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模型/约束可直接入稿，算法与结果可复现，图表可回溯到正式输出。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70E0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2号模型，1号算法，3号整合</w:t>
            </w:r>
          </w:p>
        </w:tc>
      </w:tr>
    </w:tbl>
    <w:p w14:paraId="0A8D7FB4">
      <w:pPr>
        <w:pStyle w:val="3"/>
      </w:pPr>
      <w:r>
        <w:t>任务一收尾责任边界</w:t>
      </w:r>
    </w:p>
    <w:p w14:paraId="598564D8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1F4D78"/>
          <w:sz w:val="20"/>
        </w:rPr>
        <w:t>1号｜Q1代码与结果冻结：确认正式运行命令、配置、随机种子和38辆/98趟最优输出一致；整理主程序、日志、收敛记录和可复现说明。本阶段只完成任务一。</w:t>
      </w:r>
    </w:p>
    <w:p w14:paraId="32BB31CE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1F4D78"/>
          <w:sz w:val="20"/>
        </w:rPr>
        <w:t>2号｜Q1模型与数字核对：把目标函数、容量/时间窗/多趟/24点返场约束、单位和成本分项与程序逐项对应；更新model_spec及问题一模型说明，补充理论下界与局限性。此处只完成任务一。</w:t>
      </w:r>
    </w:p>
    <w:p w14:paraId="61F2836F">
      <w:pPr>
        <w:spacing w:before="0" w:after="60" w:line="269" w:lineRule="auto"/>
      </w:pPr>
      <w:r>
        <w:rPr>
          <w:rFonts w:ascii="Noto Sans CJK SC" w:hAnsi="Noto Sans CJK SC" w:eastAsia="Noto Sans CJK SC"/>
          <w:b/>
          <w:color w:val="1F4D78"/>
          <w:sz w:val="20"/>
        </w:rPr>
        <w:t>3号｜Q1图表与论文归档：锁定任务一路线图、成本构成、车型/趟次统计和结果表，将1号算法结果与2号模型说明整合进论文，并登记正式输出路径。</w:t>
      </w:r>
    </w:p>
    <w:p w14:paraId="74BD7FAE">
      <w:r>
        <w:br w:type="page"/>
      </w:r>
    </w:p>
    <w:p w14:paraId="5B0409C6">
      <w:pPr>
        <w:pStyle w:val="3"/>
        <w:keepNext/>
        <w:pageBreakBefore/>
      </w:pPr>
      <w:r>
        <w:t>问题二启动：绿色区燃油车限行</w:t>
      </w:r>
    </w:p>
    <w:tbl>
      <w:tblPr>
        <w:tblStyle w:val="32"/>
        <w:tblW w:w="9360" w:type="dxa"/>
        <w:tblInd w:w="120" w:type="dxa"/>
        <w:tblBorders>
          <w:top w:val="single" w:color="A9C2D8" w:sz="6" w:space="0"/>
          <w:left w:val="single" w:color="A9C2D8" w:sz="6" w:space="0"/>
          <w:bottom w:val="single" w:color="A9C2D8" w:sz="6" w:space="0"/>
          <w:right w:val="single" w:color="A9C2D8" w:sz="6" w:space="0"/>
          <w:insideH w:val="single" w:color="A9C2D8" w:sz="6" w:space="0"/>
          <w:insideV w:val="single" w:color="A9C2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2208A8">
        <w:tblPrEx>
          <w:tblBorders>
            <w:top w:val="single" w:color="A9C2D8" w:sz="6" w:space="0"/>
            <w:left w:val="single" w:color="A9C2D8" w:sz="6" w:space="0"/>
            <w:bottom w:val="single" w:color="A9C2D8" w:sz="6" w:space="0"/>
            <w:right w:val="single" w:color="A9C2D8" w:sz="6" w:space="0"/>
            <w:insideH w:val="single" w:color="A9C2D8" w:sz="6" w:space="0"/>
            <w:insideV w:val="single" w:color="A9C2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BF9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主口径：8:00-16:00期间，燃油车不得到达绿色区客户节点；新能源车不受限制。绿色客户集合由2号从清洗数据标记生成，政策判定由policy_q2.py提供，成本和可行性由统一evaluator返回；最终policy_violation_count必须为0。容量、时间递推和24点返场规则沿用问题一。若“到达/服务时刻”或端点包含关系有歧义，2号冻结主解释并完成替代口径敏感性分析；1号不在求解器中复制判定逻辑。</w:t>
            </w:r>
          </w:p>
        </w:tc>
      </w:tr>
    </w:tbl>
    <w:p w14:paraId="656440B3">
      <w:pPr>
        <w:pStyle w:val="4"/>
        <w:keepNext/>
      </w:pPr>
      <w:r>
        <w:t>1号与2号模块接口</w:t>
      </w:r>
    </w:p>
    <w:p w14:paraId="35D36048">
      <w:pPr>
        <w:keepLines/>
        <w:spacing w:after="80"/>
      </w:pPr>
      <w:r>
        <w:rPr>
          <w:b/>
        </w:rPr>
        <w:t>模块A｜2号交Q2实例：从清洗后客户表读取绿色区标记，输出绿色客户清单及Q2实例摘要，核对客户数、需求量、时间窗和距离索引；1号不得在求解器中手工维护客户编号。</w:t>
      </w:r>
    </w:p>
    <w:p w14:paraId="69F447B1">
      <w:pPr>
        <w:keepLines/>
        <w:spacing w:after="80"/>
      </w:pPr>
      <w:r>
        <w:rPr>
          <w:b/>
        </w:rPr>
        <w:t>模块B｜2号交评估与基线：实现policy_q2.py并扩展统一evaluator，使其一次返回总成本、成本分项、政策违规和全部可行性指标；再用“换新能源/调整发车”的确定性规则生成一个违规为0的Q2基线，作为1号搜索起点。</w:t>
      </w:r>
    </w:p>
    <w:p w14:paraId="71621A37">
      <w:pPr>
        <w:keepLines/>
        <w:spacing w:after="80"/>
      </w:pPr>
      <w:r>
        <w:rPr>
          <w:b/>
        </w:rPr>
        <w:t>模块C｜1号交优化器：只在src/solver中开发绿色区路线修复、车型重选、整趟交换、车辆数搜索和ALNS；所有候选解统一调用2号评估器，以5个固定随机种子产出最低成本合规方案。</w:t>
      </w:r>
    </w:p>
    <w:p w14:paraId="16BFF487">
      <w:pPr>
        <w:keepLines/>
        <w:spacing w:after="80"/>
      </w:pPr>
      <w:r>
        <w:rPr>
          <w:b/>
        </w:rPr>
        <w:t>合并规则：2号的数据实例、policy接口和成本评估是只读依赖；1号不修改这些模块。若接口需要变更，由2号升版并给迁移说明，1号仅调整调用处。</w:t>
      </w:r>
    </w:p>
    <w:p w14:paraId="537A56C9">
      <w:pPr>
        <w:pStyle w:val="4"/>
      </w:pPr>
      <w:r>
        <w:t>分工与交付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550"/>
        <w:gridCol w:w="3360"/>
      </w:tblGrid>
      <w:tr w14:paraId="2DCB894E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F960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w="45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71D0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立即执行</w:t>
            </w:r>
          </w:p>
        </w:tc>
        <w:tc>
          <w:tcPr>
            <w:tcW w:w="33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8E3B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交付与验收</w:t>
            </w:r>
          </w:p>
        </w:tc>
      </w:tr>
      <w:tr w14:paraId="25FC4A66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0CB3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1号 / 搜索优化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BA8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①接入2号Q2实例、policy和evaluator；②开发违规路线修复、车型重选、发车调整、整趟relocate/swap和车辆数搜索；③把这些算子接入ALNS；④运行5个固定种子并选统一评估器总成本最低的合规解。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804B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交付：Q2运行入口、src/solver下的Q2搜索模块、5种子日志、最优路线与收敛记录。完成条件：结果可复现、违规=0、无跨天且优于2号基线。边界：不处理原始数据，不改policy/evaluator。</w:t>
            </w:r>
          </w:p>
        </w:tc>
      </w:tr>
      <w:tr w14:paraId="7E29B75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56A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2号 / 模型评估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65D4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①生成绿色客户清单和Q2实例摘要；②实现</w:t>
            </w:r>
            <w:bookmarkStart w:id="0" w:name="_GoBack"/>
            <w:bookmarkEnd w:id="0"/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policy_q2.py并扩展src/model/evaluator.py；③用换新能源和调整发车生成确定性合规基线；④完成Q2变量、目标、约束、理论下界及8:00/16:00替代口径敏感性。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57EE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交付：Q2实例表、policy_q2.py、统一评估器Q2扩展、基线路线/成本分解、model_spec的Q2章节及敏感性表。完成条件：1号可通过单一evaluate_solution接口直接评分；基线违规=0且可复现。边界：不写ALNS、不跑5种子调参。</w:t>
            </w:r>
          </w:p>
        </w:tc>
      </w:tr>
      <w:tr w14:paraId="029A9DDA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857B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3号 / 实验论文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D80E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运行1号冻结的正式配置；登记Q1、2号基线和1号最优解；制作绿色区路线图、车型结构、成本/碳排/准时率对比。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EDC7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交付：registry、Q1-Q2对照表、核心图表和论文整合稿；模型内容来自2号，算法与结果来自1号，所有数字可回溯。</w:t>
            </w:r>
          </w:p>
        </w:tc>
      </w:tr>
    </w:tbl>
    <w:p w14:paraId="751B12A6">
      <w:pPr>
        <w:pStyle w:val="4"/>
        <w:keepNext/>
        <w:pageBreakBefore/>
      </w:pPr>
      <w:r>
        <w:t>推进节奏</w:t>
      </w:r>
    </w:p>
    <w:tbl>
      <w:tblPr>
        <w:tblStyle w:val="32"/>
        <w:tblW w:w="9360" w:type="dxa"/>
        <w:tblInd w:w="120" w:type="dxa"/>
        <w:tblBorders>
          <w:top w:val="single" w:color="B8C4D1" w:sz="6" w:space="0"/>
          <w:left w:val="single" w:color="B8C4D1" w:sz="6" w:space="0"/>
          <w:bottom w:val="single" w:color="B8C4D1" w:sz="6" w:space="0"/>
          <w:right w:val="single" w:color="B8C4D1" w:sz="6" w:space="0"/>
          <w:insideH w:val="single" w:color="B8C4D1" w:sz="6" w:space="0"/>
          <w:insideV w:val="single" w:color="B8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636"/>
        <w:gridCol w:w="2637"/>
        <w:gridCol w:w="2637"/>
      </w:tblGrid>
      <w:tr w14:paraId="022CD429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E343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2636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6010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1号</w:t>
            </w:r>
          </w:p>
        </w:tc>
        <w:tc>
          <w:tcPr>
            <w:tcW w:w="2637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EA14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2号</w:t>
            </w:r>
          </w:p>
        </w:tc>
        <w:tc>
          <w:tcPr>
            <w:tcW w:w="2637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C70C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3号</w:t>
            </w:r>
          </w:p>
        </w:tc>
      </w:tr>
      <w:tr w14:paraId="30C69E3C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C966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0-30分钟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5756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冻结Q1解；定义solver所需输入/输出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FAA3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生成绿色客户清单；确定policy/evaluator接口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4089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更新Q1基线和登记模板</w:t>
            </w:r>
          </w:p>
        </w:tc>
      </w:tr>
      <w:tr w14:paraId="2D60ADB3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76F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0.5-2小时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0F4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搭建Q2修复算子和运行入口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CFD5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完成policy_q2与evaluator扩展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1C6D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准备实验配置和图表字段</w:t>
            </w:r>
          </w:p>
        </w:tc>
      </w:tr>
      <w:tr w14:paraId="47035CC8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88BC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2-4小时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FC8C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接入2号基线并产出首个改进解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3617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生成合规基线、成本分解和Q2模型约束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AFEF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登记基线与首个改进解</w:t>
            </w:r>
          </w:p>
        </w:tc>
      </w:tr>
      <w:tr w14:paraId="1B473BC2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826F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4-6小时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EA5B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接入ALNS并跑5个固定种子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ED42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计算理论下界与端点口径敏感性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E2A8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汇总最好值、均值和标准差</w:t>
            </w:r>
          </w:p>
        </w:tc>
      </w:tr>
      <w:tr w14:paraId="6514D907">
        <w:tblPrEx>
          <w:tblBorders>
            <w:top w:val="single" w:color="B8C4D1" w:sz="6" w:space="0"/>
            <w:left w:val="single" w:color="B8C4D1" w:sz="6" w:space="0"/>
            <w:bottom w:val="single" w:color="B8C4D1" w:sz="6" w:space="0"/>
            <w:right w:val="single" w:color="B8C4D1" w:sz="6" w:space="0"/>
            <w:insideH w:val="single" w:color="B8C4D1" w:sz="6" w:space="0"/>
            <w:insideV w:val="single" w:color="B8C4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442A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6-8小时</w:t>
            </w:r>
          </w:p>
        </w:tc>
        <w:tc>
          <w:tcPr>
            <w:tcW w:w="2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DFF0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冻结最低成本解和算法说明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8109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冻结实例、评估器、基线和模型分析</w:t>
            </w:r>
          </w:p>
        </w:tc>
        <w:tc>
          <w:tcPr>
            <w:tcW w:w="26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6FEE">
            <w:pPr>
              <w:keepLines/>
              <w:spacing w:before="0" w:after="20" w:line="259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完成图表和Q2论文整合稿</w:t>
            </w:r>
          </w:p>
        </w:tc>
      </w:tr>
    </w:tbl>
    <w:p w14:paraId="21A8CC09">
      <w:pPr>
        <w:pStyle w:val="4"/>
      </w:pPr>
      <w:r>
        <w:t>联合质量门</w:t>
      </w:r>
    </w:p>
    <w:p w14:paraId="1C2AFB93">
      <w:pPr>
        <w:spacing w:before="0" w:after="40" w:line="269" w:lineRule="auto"/>
      </w:pPr>
      <w:r>
        <w:rPr>
          <w:rFonts w:ascii="Noto Sans CJK SC" w:hAnsi="Noto Sans CJK SC" w:eastAsia="Noto Sans CJK SC"/>
          <w:b/>
          <w:color w:val="1F4D78"/>
          <w:sz w:val="19"/>
        </w:rPr>
        <w:t>必须同时通过：</w:t>
      </w:r>
      <w:r>
        <w:rPr>
          <w:rFonts w:ascii="Noto Sans CJK SC" w:hAnsi="Noto Sans CJK SC" w:eastAsia="Noto Sans CJK SC"/>
          <w:b w:val="0"/>
          <w:color w:val="0B2545"/>
          <w:sz w:val="19"/>
        </w:rPr>
        <w:t>违规=0、无漏单重复、容量与库存合规、全部24:00前返回，且Q1/Q2共用统一评估器。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13EFA">
    <w:pPr>
      <w:pStyle w:val="24"/>
      <w:jc w:val="right"/>
    </w:pPr>
    <w:r>
      <w:rPr>
        <w:rFonts w:ascii="Noto Sans CJK SC" w:hAnsi="Noto Sans CJK SC" w:eastAsia="Noto Sans CJK SC"/>
        <w:b w:val="0"/>
        <w:color w:val="5F6B7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CJK SC" w:hAnsi="Noto Sans CJK SC" w:eastAsia="Noto Sans CJK SC"/>
        <w:b w:val="0"/>
        <w:color w:val="5F6B7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35652">
    <w:pPr>
      <w:pStyle w:val="25"/>
      <w:spacing w:before="0" w:after="0" w:line="240" w:lineRule="auto"/>
      <w:jc w:val="left"/>
    </w:pPr>
    <w:r>
      <w:rPr>
        <w:rFonts w:ascii="Noto Sans CJK SC" w:hAnsi="Noto Sans CJK SC" w:eastAsia="Noto Sans CJK SC"/>
        <w:b/>
        <w:color w:val="5F6B76"/>
        <w:sz w:val="17"/>
      </w:rPr>
      <w:t>2026 华中杯 A题｜任务一 → 问题二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0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76" w:lineRule="auto"/>
    </w:pPr>
    <w:rPr>
      <w:rFonts w:ascii="Noto Sans CJK SC" w:hAnsi="Noto Sans CJK SC" w:eastAsia="Noto Sans CJK SC" w:cstheme="minorBidi"/>
      <w:color w:val="0B254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1801</Words>
  <Characters>2225</Characters>
  <Lines>0</Lines>
  <Paragraphs>0</Paragraphs>
  <TotalTime>1</TotalTime>
  <ScaleCrop>false</ScaleCrop>
  <LinksUpToDate>false</LinksUpToDate>
  <CharactersWithSpaces>2231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陈斯宇</cp:lastModifiedBy>
  <dcterms:modified xsi:type="dcterms:W3CDTF">2026-08-18T04:26:38Z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eyJoZGlkIjoiZjAxYTU2N2NmYjU3NWE1NGZiZGVmMmMyNTc0YTUzNDYiLCJ1c2VySWQiOiIxNzg1MTYwNzcwIn0=</vt:lpwstr>
  </property>
  <property fmtid="{D5CDD505-2E9C-101B-9397-08002B2CF9AE}" pid="3" name="KSOProductBuildVer">
    <vt:lpwstr>2052-12.1.0.28043</vt:lpwstr>
  </property>
  <property fmtid="{D5CDD505-2E9C-101B-9397-08002B2CF9AE}" pid="4" name="ICV">
    <vt:lpwstr>4DB2B817FA90404FB8F63D051D53C76F_12</vt:lpwstr>
  </property>
</Properties>
</file>