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2021-12-13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公网对讲机平台商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1.公网时代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2.博纳德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3.卓志达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4.河南宝蓝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6.易锐通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7.天翼达(云洽)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8.中兴高达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9.茶余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10.心立通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11.特易通TYT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12.天龙世纪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13.iwalkie平台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14.联想平台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15.三通平台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16.芯平台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17.瑞特平台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18.南极星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19.力同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20.易锐通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2021-12-18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在api服务器 部署 加入mysql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2021-12-22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增加多账号登记功能，反馈信息提示，查询界面做了一些修改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2022-01-11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增加卡信息查询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24300" cy="5715000"/>
            <wp:effectExtent l="0" t="0" r="0" b="0"/>
            <wp:docPr id="2" name="图片 2" descr="6bfdaaef0fd4b1af3486bff9b5b54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fdaaef0fd4b1af3486bff9b5b54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0815" cy="8846820"/>
            <wp:effectExtent l="0" t="0" r="635" b="11430"/>
            <wp:docPr id="1" name="图片 1" descr="2ab9517f28eea8832cae390ad8b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b9517f28eea8832cae390ad8b30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E4584"/>
    <w:rsid w:val="15FD42C7"/>
    <w:rsid w:val="1644252B"/>
    <w:rsid w:val="3D8D24F0"/>
    <w:rsid w:val="6C48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2021-12-13T13:01:00Z</dcterms:created>
  <dc:creator>Admin</dc:creator>
  <cp:lastModifiedBy>张操</cp:lastModifiedBy>
  <dcterms:modified xsi:type="dcterms:W3CDTF">2022-01-11T12:18:35Z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671E5024EF14480E9FAD9B4771B4BF30</vt:lpwstr>
  </property>
</Properties>
</file>