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3839A">
      <w:pPr>
        <w:pStyle w:val="2"/>
        <w:bidi w:val="0"/>
        <w:rPr>
          <w:rFonts w:hint="eastAsia"/>
        </w:rPr>
      </w:pPr>
      <w:r>
        <w:rPr>
          <w:rFonts w:hint="eastAsia"/>
        </w:rPr>
        <w:t>民事上诉状</w:t>
      </w:r>
    </w:p>
    <w:p w14:paraId="22F0C9C0">
      <w:pPr>
        <w:bidi w:val="0"/>
        <w:rPr>
          <w:rFonts w:hint="eastAsia"/>
        </w:rPr>
      </w:pPr>
      <w:r>
        <w:rPr>
          <w:rFonts w:hint="eastAsia"/>
        </w:rPr>
        <w:t>上诉人（原审被告）：杨刚，男，1989年12月27日出生，汉族，住贵州省大方县顺德街道新铺村良田组，公民身份号码522422198912270055。</w:t>
      </w:r>
    </w:p>
    <w:p w14:paraId="246F3762">
      <w:pPr>
        <w:bidi w:val="0"/>
        <w:rPr>
          <w:rFonts w:hint="eastAsia"/>
        </w:rPr>
      </w:pPr>
      <w:r>
        <w:rPr>
          <w:rFonts w:hint="eastAsia"/>
        </w:rPr>
        <w:t>被上诉人（原审原告）：杨江，男，1979年3月16日出生，彝族，住贵州省大方县大方镇新铺村良田组，公民身份号码52242219790316001X。</w:t>
      </w:r>
    </w:p>
    <w:p w14:paraId="12F968FB">
      <w:pPr>
        <w:bidi w:val="0"/>
        <w:ind w:left="0" w:leftChars="0" w:firstLine="0" w:firstLineChars="0"/>
        <w:jc w:val="center"/>
        <w:rPr>
          <w:rFonts w:hint="eastAsia"/>
          <w:b/>
          <w:bCs/>
        </w:rPr>
      </w:pPr>
      <w:r>
        <w:rPr>
          <w:rFonts w:hint="eastAsia"/>
          <w:b/>
          <w:bCs/>
        </w:rPr>
        <w:t>上诉请求</w:t>
      </w:r>
    </w:p>
    <w:p w14:paraId="0B874CAF">
      <w:pPr>
        <w:bidi w:val="0"/>
        <w:rPr>
          <w:rFonts w:hint="eastAsia"/>
          <w:b/>
          <w:bCs/>
        </w:rPr>
      </w:pPr>
      <w:r>
        <w:rPr>
          <w:rFonts w:hint="eastAsia"/>
          <w:b/>
          <w:bCs/>
        </w:rPr>
        <w:t>1. 依法撤销广西壮族自治区南宁市武鸣区人民法院作出的（2025）桂0110民初6381号民事判决书，改判驳回被上诉人杨江的全部诉讼请求；</w:t>
      </w:r>
    </w:p>
    <w:p w14:paraId="719E5039">
      <w:pPr>
        <w:bidi w:val="0"/>
        <w:rPr>
          <w:rFonts w:hint="eastAsia"/>
          <w:b/>
          <w:bCs/>
        </w:rPr>
      </w:pPr>
      <w:r>
        <w:rPr>
          <w:rFonts w:hint="eastAsia"/>
          <w:b/>
          <w:bCs/>
        </w:rPr>
        <w:t>2. 判令本案一审、二审全部诉讼费用由被上诉人承担。</w:t>
      </w:r>
    </w:p>
    <w:p w14:paraId="0A85666A">
      <w:pPr>
        <w:bidi w:val="0"/>
        <w:ind w:left="0" w:leftChars="0" w:firstLine="640" w:firstLineChars="200"/>
        <w:jc w:val="left"/>
        <w:rPr>
          <w:rFonts w:hint="eastAsia"/>
          <w:b/>
          <w:bCs/>
        </w:rPr>
      </w:pPr>
      <w:r>
        <w:rPr>
          <w:rFonts w:hint="eastAsia"/>
        </w:rPr>
        <w:t>上诉人因与被上诉人提供劳务者受害责任纠纷一案，不服</w:t>
      </w:r>
      <w:r>
        <w:rPr>
          <w:rFonts w:hint="eastAsia"/>
          <w:lang w:val="en-US" w:eastAsia="zh-CN"/>
        </w:rPr>
        <w:t>南宁市</w:t>
      </w:r>
      <w:r>
        <w:rPr>
          <w:rFonts w:hint="eastAsia"/>
        </w:rPr>
        <w:t>武鸣区人民法院作出的（2025）桂0110民初6381号民事判决（以下简称“一审判决”）</w:t>
      </w:r>
      <w:r>
        <w:rPr>
          <w:rFonts w:hint="eastAsia"/>
          <w:lang w:eastAsia="zh-CN"/>
        </w:rPr>
        <w:t>，</w:t>
      </w:r>
      <w:r>
        <w:rPr>
          <w:rFonts w:hint="eastAsia"/>
          <w:lang w:val="en-US" w:eastAsia="zh-CN"/>
        </w:rPr>
        <w:t>现依法提出上诉</w:t>
      </w:r>
      <w:r>
        <w:rPr>
          <w:rFonts w:hint="eastAsia"/>
        </w:rPr>
        <w:t>。</w:t>
      </w:r>
    </w:p>
    <w:p w14:paraId="44F34904">
      <w:pPr>
        <w:bidi w:val="0"/>
        <w:ind w:left="0" w:leftChars="0" w:firstLine="0" w:firstLineChars="0"/>
        <w:jc w:val="center"/>
        <w:rPr>
          <w:rFonts w:hint="eastAsia"/>
          <w:b/>
          <w:bCs/>
        </w:rPr>
      </w:pPr>
      <w:r>
        <w:rPr>
          <w:rFonts w:hint="eastAsia"/>
          <w:b/>
          <w:bCs/>
        </w:rPr>
        <w:t>事实与理由</w:t>
      </w:r>
    </w:p>
    <w:p w14:paraId="385B63A8">
      <w:pPr>
        <w:bidi w:val="0"/>
        <w:rPr>
          <w:rFonts w:hint="eastAsia"/>
        </w:rPr>
      </w:pPr>
      <w:r>
        <w:rPr>
          <w:rFonts w:hint="eastAsia"/>
        </w:rPr>
        <w:t>上诉人认为，一审判决认定事实错误、适用法律不当</w:t>
      </w:r>
      <w:r>
        <w:rPr>
          <w:rFonts w:hint="eastAsia"/>
          <w:lang w:eastAsia="zh-CN"/>
        </w:rPr>
        <w:t>、</w:t>
      </w:r>
      <w:r>
        <w:rPr>
          <w:rFonts w:hint="eastAsia"/>
          <w:lang w:val="en-US" w:eastAsia="zh-CN"/>
        </w:rPr>
        <w:t>程序违法</w:t>
      </w:r>
      <w:r>
        <w:rPr>
          <w:rFonts w:hint="eastAsia"/>
        </w:rPr>
        <w:t>，导致</w:t>
      </w:r>
      <w:r>
        <w:rPr>
          <w:rFonts w:hint="eastAsia"/>
          <w:lang w:val="en-US" w:eastAsia="zh-CN"/>
        </w:rPr>
        <w:t>赔偿数额计算错误、</w:t>
      </w:r>
      <w:r>
        <w:rPr>
          <w:rFonts w:hint="eastAsia"/>
        </w:rPr>
        <w:t>责任划分严重失衡</w:t>
      </w:r>
      <w:r>
        <w:rPr>
          <w:rFonts w:hint="eastAsia"/>
          <w:lang w:eastAsia="zh-CN"/>
        </w:rPr>
        <w:t>，</w:t>
      </w:r>
      <w:r>
        <w:rPr>
          <w:rFonts w:hint="eastAsia"/>
          <w:lang w:val="en-US" w:eastAsia="zh-CN"/>
        </w:rPr>
        <w:t>依法应予撤销。</w:t>
      </w:r>
      <w:r>
        <w:rPr>
          <w:rFonts w:hint="eastAsia"/>
        </w:rPr>
        <w:t>具体理由如下：</w:t>
      </w:r>
    </w:p>
    <w:p w14:paraId="634E85DE">
      <w:pPr>
        <w:bidi w:val="0"/>
        <w:rPr>
          <w:rFonts w:hint="default" w:eastAsia="仿宋"/>
          <w:b/>
          <w:bCs/>
          <w:lang w:val="en-US" w:eastAsia="zh-CN"/>
        </w:rPr>
      </w:pPr>
      <w:r>
        <w:rPr>
          <w:rFonts w:hint="eastAsia"/>
          <w:b/>
          <w:bCs/>
        </w:rPr>
        <w:t>一、</w:t>
      </w:r>
      <w:r>
        <w:rPr>
          <w:rFonts w:hint="eastAsia"/>
          <w:b/>
          <w:bCs/>
          <w:lang w:val="en-US" w:eastAsia="zh-CN"/>
        </w:rPr>
        <w:t>上诉人与被上诉人不存在劳务关系，上诉人并非本案适格被告。</w:t>
      </w:r>
    </w:p>
    <w:p w14:paraId="6696F3D4">
      <w:pPr>
        <w:bidi w:val="0"/>
        <w:rPr>
          <w:rFonts w:hint="eastAsia"/>
          <w:b/>
          <w:bCs/>
        </w:rPr>
      </w:pPr>
      <w:r>
        <w:rPr>
          <w:rFonts w:hint="eastAsia"/>
          <w:b/>
          <w:bCs/>
          <w:lang w:eastAsia="zh-CN"/>
        </w:rPr>
        <w:t>（</w:t>
      </w:r>
      <w:r>
        <w:rPr>
          <w:rFonts w:hint="eastAsia"/>
          <w:b/>
          <w:bCs/>
          <w:lang w:val="en-US" w:eastAsia="zh-CN"/>
        </w:rPr>
        <w:t>一</w:t>
      </w:r>
      <w:r>
        <w:rPr>
          <w:rFonts w:hint="eastAsia"/>
          <w:b/>
          <w:bCs/>
          <w:lang w:eastAsia="zh-CN"/>
        </w:rPr>
        <w:t>）</w:t>
      </w:r>
      <w:r>
        <w:rPr>
          <w:rFonts w:hint="eastAsia"/>
          <w:b/>
          <w:bCs/>
          <w:lang w:val="en-US" w:eastAsia="zh-CN"/>
        </w:rPr>
        <w:t>一审判决认定“原告按被告指示提供劳务，劳动报酬由被告支付”与客观事实严重不符，属于事实认定错误。</w:t>
      </w:r>
    </w:p>
    <w:p w14:paraId="0636462B">
      <w:pPr>
        <w:bidi w:val="0"/>
        <w:rPr>
          <w:rFonts w:hint="eastAsia"/>
          <w:b/>
          <w:bCs/>
        </w:rPr>
      </w:pPr>
      <w:r>
        <w:rPr>
          <w:rFonts w:hint="eastAsia"/>
          <w:b/>
          <w:bCs/>
        </w:rPr>
        <w:t xml:space="preserve">1. </w:t>
      </w:r>
      <w:r>
        <w:rPr>
          <w:rFonts w:hint="eastAsia"/>
          <w:b/>
          <w:bCs/>
          <w:lang w:val="en-US" w:eastAsia="zh-CN"/>
        </w:rPr>
        <w:t>上诉人从未以个人名义雇佣被上诉人</w:t>
      </w:r>
      <w:r>
        <w:rPr>
          <w:rFonts w:hint="eastAsia"/>
          <w:b/>
          <w:bCs/>
        </w:rPr>
        <w:t>。</w:t>
      </w:r>
    </w:p>
    <w:p w14:paraId="337D7486">
      <w:pPr>
        <w:bidi w:val="0"/>
        <w:rPr>
          <w:rFonts w:hint="eastAsia"/>
          <w:lang w:val="en-US" w:eastAsia="zh-CN"/>
        </w:rPr>
      </w:pPr>
      <w:r>
        <w:rPr>
          <w:rFonts w:hint="eastAsia"/>
          <w:lang w:val="en-US" w:eastAsia="zh-CN"/>
        </w:rPr>
        <w:t>首先，被上诉人所称“广西南宁豪兴洗衣盆厂”并未经工商登记，上诉人与该洗衣盆厂之间不存在任何法律或事实上的关联。上诉人从未以个人名义或者代表该厂雇佣被上诉人，双方之间不存在雇佣合意。</w:t>
      </w:r>
    </w:p>
    <w:p w14:paraId="65780315">
      <w:pPr>
        <w:bidi w:val="0"/>
        <w:rPr>
          <w:rFonts w:hint="eastAsia"/>
        </w:rPr>
      </w:pPr>
      <w:r>
        <w:rPr>
          <w:rFonts w:hint="eastAsia"/>
          <w:lang w:val="en-US" w:eastAsia="zh-CN"/>
        </w:rPr>
        <w:t>其次，</w:t>
      </w:r>
      <w:r>
        <w:rPr>
          <w:rFonts w:hint="eastAsia"/>
        </w:rPr>
        <w:t>被上诉人提交的微信聊天记录仅为不完整截图，未能完整反映双方就“提供劳务、接受管理、支付报酬</w:t>
      </w:r>
      <w:r>
        <w:rPr>
          <w:rFonts w:hint="eastAsia"/>
          <w:lang w:eastAsia="zh-CN"/>
        </w:rPr>
        <w:t>、</w:t>
      </w:r>
      <w:r>
        <w:rPr>
          <w:rFonts w:hint="eastAsia"/>
          <w:lang w:val="en-US" w:eastAsia="zh-CN"/>
        </w:rPr>
        <w:t>雇佣合意</w:t>
      </w:r>
      <w:r>
        <w:rPr>
          <w:rFonts w:hint="eastAsia"/>
        </w:rPr>
        <w:t>”等劳务关系核心要素达成合意的内容。</w:t>
      </w:r>
      <w:r>
        <w:rPr>
          <w:rFonts w:hint="eastAsia"/>
          <w:lang w:val="en-US" w:eastAsia="zh-CN"/>
        </w:rPr>
        <w:t>而是</w:t>
      </w:r>
      <w:r>
        <w:rPr>
          <w:rFonts w:hint="eastAsia"/>
        </w:rPr>
        <w:t>仅能证明亲属间的日常联系，无法达到</w:t>
      </w:r>
      <w:r>
        <w:rPr>
          <w:rFonts w:hint="eastAsia"/>
          <w:lang w:val="en-US" w:eastAsia="zh-CN"/>
        </w:rPr>
        <w:t>认定存在劳务</w:t>
      </w:r>
      <w:r>
        <w:rPr>
          <w:rFonts w:hint="eastAsia"/>
        </w:rPr>
        <w:t>雇佣关系的证明标准。</w:t>
      </w:r>
    </w:p>
    <w:p w14:paraId="75BDAB2F">
      <w:pPr>
        <w:numPr>
          <w:ilvl w:val="0"/>
          <w:numId w:val="1"/>
        </w:numPr>
        <w:bidi w:val="0"/>
        <w:rPr>
          <w:rFonts w:hint="eastAsia"/>
        </w:rPr>
      </w:pPr>
      <w:r>
        <w:rPr>
          <w:rFonts w:hint="eastAsia"/>
          <w:b/>
          <w:bCs/>
          <w:lang w:val="en-US" w:eastAsia="zh-CN"/>
        </w:rPr>
        <w:t>上诉人垫付的医疗费及出借的1000元系基于亲戚间的人道主义帮助，而非对责任的认可</w:t>
      </w:r>
      <w:r>
        <w:rPr>
          <w:rFonts w:hint="eastAsia"/>
          <w:b/>
          <w:bCs/>
        </w:rPr>
        <w:t>。</w:t>
      </w:r>
    </w:p>
    <w:p w14:paraId="481B3C3B">
      <w:pPr>
        <w:numPr>
          <w:ilvl w:val="-1"/>
          <w:numId w:val="0"/>
        </w:numPr>
        <w:bidi w:val="0"/>
        <w:ind w:firstLine="640" w:firstLineChars="200"/>
        <w:rPr>
          <w:rFonts w:hint="eastAsia"/>
        </w:rPr>
      </w:pPr>
      <w:r>
        <w:rPr>
          <w:rFonts w:hint="eastAsia"/>
          <w:lang w:val="en-US" w:eastAsia="zh-CN"/>
        </w:rPr>
        <w:t>上诉人与被上诉人系堂兄弟关系。事故发生后，上诉人</w:t>
      </w:r>
      <w:r>
        <w:rPr>
          <w:rFonts w:hint="eastAsia"/>
        </w:rPr>
        <w:t>出于亲情</w:t>
      </w:r>
      <w:r>
        <w:rPr>
          <w:rFonts w:hint="eastAsia"/>
          <w:lang w:val="en-US" w:eastAsia="zh-CN"/>
        </w:rPr>
        <w:t>帮助被上诉人</w:t>
      </w:r>
      <w:r>
        <w:rPr>
          <w:rFonts w:hint="eastAsia"/>
        </w:rPr>
        <w:t>垫付部分费用</w:t>
      </w:r>
      <w:r>
        <w:rPr>
          <w:rFonts w:hint="eastAsia"/>
          <w:lang w:val="en-US" w:eastAsia="zh-CN"/>
        </w:rPr>
        <w:t>并出借1000元给被上诉人用于后续治疗</w:t>
      </w:r>
      <w:r>
        <w:rPr>
          <w:rFonts w:hint="eastAsia"/>
        </w:rPr>
        <w:t>符合常理</w:t>
      </w:r>
      <w:r>
        <w:rPr>
          <w:rFonts w:hint="eastAsia"/>
          <w:lang w:eastAsia="zh-CN"/>
        </w:rPr>
        <w:t>。</w:t>
      </w:r>
      <w:r>
        <w:rPr>
          <w:rFonts w:hint="eastAsia"/>
          <w:lang w:val="en-US" w:eastAsia="zh-CN"/>
        </w:rPr>
        <w:t>被上诉人的上述行为完全属于人道主义帮助，在法律上可定性为借款或赠与，</w:t>
      </w:r>
      <w:r>
        <w:rPr>
          <w:rFonts w:hint="eastAsia"/>
        </w:rPr>
        <w:t>不能仅据此</w:t>
      </w:r>
      <w:r>
        <w:rPr>
          <w:rFonts w:hint="eastAsia"/>
          <w:lang w:val="en-US" w:eastAsia="zh-CN"/>
        </w:rPr>
        <w:t>推断</w:t>
      </w:r>
      <w:r>
        <w:rPr>
          <w:rFonts w:hint="eastAsia"/>
        </w:rPr>
        <w:t>双方存在法律上的雇佣关系</w:t>
      </w:r>
      <w:r>
        <w:rPr>
          <w:rFonts w:hint="eastAsia"/>
          <w:lang w:eastAsia="zh-CN"/>
        </w:rPr>
        <w:t>，</w:t>
      </w:r>
      <w:r>
        <w:rPr>
          <w:rFonts w:hint="eastAsia"/>
          <w:lang w:val="en-US" w:eastAsia="zh-CN"/>
        </w:rPr>
        <w:t>更不能以此认定系上诉人对侵权责任的认可或赔偿义务的履行</w:t>
      </w:r>
      <w:r>
        <w:rPr>
          <w:rFonts w:hint="eastAsia"/>
        </w:rPr>
        <w:t>。</w:t>
      </w:r>
      <w:r>
        <w:rPr>
          <w:rFonts w:hint="eastAsia"/>
          <w:lang w:val="en-US" w:eastAsia="zh-CN"/>
        </w:rPr>
        <w:t>一审判决将上述事实作为认定上诉人与被上诉人存在劳务关系的依据，属于事实认定错误。</w:t>
      </w:r>
      <w:r>
        <w:rPr>
          <w:rFonts w:hint="eastAsia"/>
        </w:rPr>
        <w:t>。</w:t>
      </w:r>
    </w:p>
    <w:p w14:paraId="511B7372">
      <w:pPr>
        <w:bidi w:val="0"/>
        <w:rPr>
          <w:rFonts w:hint="eastAsia"/>
          <w:b/>
          <w:bCs/>
        </w:rPr>
      </w:pPr>
      <w:r>
        <w:rPr>
          <w:rFonts w:hint="eastAsia"/>
          <w:b/>
          <w:bCs/>
        </w:rPr>
        <w:t xml:space="preserve">3. </w:t>
      </w:r>
      <w:r>
        <w:rPr>
          <w:rFonts w:hint="eastAsia"/>
          <w:b/>
          <w:bCs/>
          <w:lang w:val="en-US" w:eastAsia="zh-CN"/>
        </w:rPr>
        <w:t>被上诉人的劳动报酬并非由上诉人支付，</w:t>
      </w:r>
      <w:r>
        <w:rPr>
          <w:rFonts w:hint="eastAsia"/>
          <w:b/>
          <w:bCs/>
        </w:rPr>
        <w:t>第三方转款行为与上诉人无关。</w:t>
      </w:r>
    </w:p>
    <w:p w14:paraId="57E28A16">
      <w:pPr>
        <w:bidi w:val="0"/>
        <w:rPr>
          <w:rFonts w:hint="eastAsia"/>
        </w:rPr>
      </w:pPr>
      <w:r>
        <w:rPr>
          <w:rFonts w:hint="eastAsia"/>
        </w:rPr>
        <w:t>被上诉人</w:t>
      </w:r>
      <w:r>
        <w:rPr>
          <w:rFonts w:hint="eastAsia"/>
          <w:lang w:val="en-US" w:eastAsia="zh-CN"/>
        </w:rPr>
        <w:t>于</w:t>
      </w:r>
      <w:r>
        <w:rPr>
          <w:rFonts w:hint="eastAsia"/>
        </w:rPr>
        <w:t>一审提交的证据显示，被上诉人的工资是由案外人</w:t>
      </w:r>
      <w:r>
        <w:rPr>
          <w:rFonts w:hint="eastAsia"/>
          <w:lang w:eastAsia="zh-CN"/>
        </w:rPr>
        <w:t>“</w:t>
      </w:r>
      <w:r>
        <w:rPr>
          <w:rFonts w:hint="eastAsia"/>
        </w:rPr>
        <w:t>杨老三</w:t>
      </w:r>
      <w:r>
        <w:rPr>
          <w:rFonts w:hint="eastAsia"/>
          <w:lang w:eastAsia="zh-CN"/>
        </w:rPr>
        <w:t>”</w:t>
      </w:r>
      <w:r>
        <w:rPr>
          <w:rFonts w:hint="eastAsia"/>
        </w:rPr>
        <w:t>（杨莱华）通过微信转账支付，并非由上诉人支付。</w:t>
      </w:r>
      <w:r>
        <w:rPr>
          <w:rFonts w:hint="eastAsia"/>
          <w:lang w:val="en-US" w:eastAsia="zh-CN"/>
        </w:rPr>
        <w:t>该支付行为系</w:t>
      </w:r>
      <w:r>
        <w:rPr>
          <w:rFonts w:hint="eastAsia"/>
        </w:rPr>
        <w:t>案外人杨莱华的个人行为。上诉人既未委托杨莱华代付劳务报酬，与杨莱华也无任何关于雇佣被上诉人的约定。一审判决在未查明该转款背景的情况下，直接推定</w:t>
      </w:r>
      <w:r>
        <w:rPr>
          <w:rFonts w:hint="eastAsia"/>
          <w:lang w:val="en-US" w:eastAsia="zh-CN"/>
        </w:rPr>
        <w:t>由</w:t>
      </w:r>
      <w:r>
        <w:rPr>
          <w:rFonts w:hint="eastAsia"/>
        </w:rPr>
        <w:t>上诉人支付</w:t>
      </w:r>
      <w:r>
        <w:rPr>
          <w:rFonts w:hint="eastAsia"/>
          <w:lang w:val="en-US" w:eastAsia="zh-CN"/>
        </w:rPr>
        <w:t>被上诉人的</w:t>
      </w:r>
      <w:r>
        <w:rPr>
          <w:rFonts w:hint="eastAsia"/>
        </w:rPr>
        <w:t>报酬，缺乏事实</w:t>
      </w:r>
      <w:r>
        <w:rPr>
          <w:rFonts w:hint="eastAsia"/>
          <w:lang w:val="en-US" w:eastAsia="zh-CN"/>
        </w:rPr>
        <w:t>和法律</w:t>
      </w:r>
      <w:r>
        <w:rPr>
          <w:rFonts w:hint="eastAsia"/>
        </w:rPr>
        <w:t>依据。</w:t>
      </w:r>
    </w:p>
    <w:p w14:paraId="3C23F0A4">
      <w:pPr>
        <w:bidi w:val="0"/>
        <w:ind w:firstLine="643" w:firstLineChars="200"/>
      </w:pPr>
      <w:r>
        <w:rPr>
          <w:rFonts w:hint="eastAsia"/>
          <w:b/>
          <w:bCs/>
        </w:rPr>
        <w:t>二、一审判决</w:t>
      </w:r>
      <w:r>
        <w:rPr>
          <w:rFonts w:hint="eastAsia"/>
          <w:b/>
          <w:bCs/>
          <w:lang w:val="en-US" w:eastAsia="zh-CN"/>
        </w:rPr>
        <w:t>采信的鉴定意见程序严重违法，不应作为认定案件事实的依据。</w:t>
      </w:r>
    </w:p>
    <w:p w14:paraId="2CA7F74C">
      <w:pPr>
        <w:bidi w:val="0"/>
        <w:rPr>
          <w:rFonts w:hint="eastAsia"/>
        </w:rPr>
      </w:pPr>
      <w:r>
        <w:rPr>
          <w:rFonts w:hint="eastAsia"/>
          <w:b/>
          <w:bCs/>
        </w:rPr>
        <w:t xml:space="preserve">1. </w:t>
      </w:r>
      <w:r>
        <w:rPr>
          <w:rFonts w:hint="eastAsia"/>
          <w:b/>
          <w:bCs/>
          <w:lang w:val="en-US" w:eastAsia="zh-CN"/>
        </w:rPr>
        <w:t>鉴定系被上诉人单方委托，</w:t>
      </w:r>
      <w:r>
        <w:rPr>
          <w:rFonts w:hint="eastAsia"/>
          <w:b/>
          <w:bCs/>
        </w:rPr>
        <w:t>程序严重违法。</w:t>
      </w:r>
    </w:p>
    <w:p w14:paraId="49D39AF2">
      <w:pPr>
        <w:bidi w:val="0"/>
        <w:rPr>
          <w:rFonts w:hint="default" w:eastAsia="仿宋"/>
          <w:lang w:val="en-US" w:eastAsia="zh-CN"/>
        </w:rPr>
      </w:pPr>
      <w:r>
        <w:rPr>
          <w:rFonts w:hint="eastAsia"/>
        </w:rPr>
        <w:t>根据《民事诉讼法》第七十九条及《最高人民法院关于民事诉讼证据的若干规定》第三十二条、第三十四条的规定，鉴定机构应由双方当事人协商确定，协商不成的由人民法院指定。被上诉人提交的《鉴定意见书》系其单方委托作出，鉴定机构的选定、鉴定材料的提交均未经上诉人参与和确认。</w:t>
      </w:r>
      <w:r>
        <w:rPr>
          <w:rFonts w:hint="eastAsia"/>
          <w:lang w:val="en-US" w:eastAsia="zh-CN"/>
        </w:rPr>
        <w:t>剥夺了上诉人对鉴定程序提出异议和进行监督的权利。</w:t>
      </w:r>
    </w:p>
    <w:p w14:paraId="1949A6B1">
      <w:pPr>
        <w:bidi w:val="0"/>
        <w:rPr>
          <w:rFonts w:hint="eastAsia"/>
        </w:rPr>
      </w:pPr>
      <w:r>
        <w:rPr>
          <w:rFonts w:hint="eastAsia"/>
          <w:b/>
          <w:bCs/>
        </w:rPr>
        <w:t xml:space="preserve">2. </w:t>
      </w:r>
      <w:r>
        <w:rPr>
          <w:rFonts w:hint="eastAsia"/>
          <w:b/>
          <w:bCs/>
          <w:lang w:val="en-US" w:eastAsia="zh-CN"/>
        </w:rPr>
        <w:t>鉴定机构的选择违背便利性和合理性原则，</w:t>
      </w:r>
      <w:r>
        <w:rPr>
          <w:rFonts w:hint="eastAsia"/>
          <w:b/>
          <w:bCs/>
        </w:rPr>
        <w:t>鉴定意见的公正性、客观性存疑。</w:t>
      </w:r>
    </w:p>
    <w:p w14:paraId="55EC07CF">
      <w:pPr>
        <w:bidi w:val="0"/>
        <w:rPr>
          <w:rFonts w:hint="eastAsia"/>
        </w:rPr>
      </w:pPr>
      <w:r>
        <w:rPr>
          <w:rFonts w:hint="eastAsia"/>
        </w:rPr>
        <w:t>被上诉人受伤地、就医地、工作地及本案一审受诉法院均在广西南宁市</w:t>
      </w:r>
      <w:r>
        <w:rPr>
          <w:rFonts w:hint="eastAsia"/>
          <w:lang w:val="en-US" w:eastAsia="zh-CN"/>
        </w:rPr>
        <w:t>武鸣区</w:t>
      </w:r>
      <w:r>
        <w:rPr>
          <w:rFonts w:hint="eastAsia"/>
        </w:rPr>
        <w:t>，</w:t>
      </w:r>
      <w:r>
        <w:rPr>
          <w:rFonts w:hint="eastAsia"/>
          <w:lang w:val="en-US" w:eastAsia="zh-CN"/>
        </w:rPr>
        <w:t>本地</w:t>
      </w:r>
      <w:r>
        <w:rPr>
          <w:rFonts w:hint="eastAsia"/>
        </w:rPr>
        <w:t>具备法医临床鉴定资质的机构众多。被上诉人舍近求远，选择其户籍所在地贵州省</w:t>
      </w:r>
      <w:r>
        <w:rPr>
          <w:rFonts w:hint="eastAsia"/>
          <w:lang w:val="en-US" w:eastAsia="zh-CN"/>
        </w:rPr>
        <w:t>毕节市</w:t>
      </w:r>
      <w:r>
        <w:rPr>
          <w:rFonts w:hint="eastAsia"/>
        </w:rPr>
        <w:t>的鉴定机构</w:t>
      </w:r>
      <w:r>
        <w:rPr>
          <w:rFonts w:hint="eastAsia"/>
          <w:lang w:val="en-US" w:eastAsia="zh-CN"/>
        </w:rPr>
        <w:t>进行鉴定</w:t>
      </w:r>
      <w:r>
        <w:rPr>
          <w:rFonts w:hint="eastAsia"/>
        </w:rPr>
        <w:t>，违背司法鉴定的便利性</w:t>
      </w:r>
      <w:r>
        <w:rPr>
          <w:rFonts w:hint="eastAsia"/>
          <w:lang w:eastAsia="zh-CN"/>
        </w:rPr>
        <w:t>、</w:t>
      </w:r>
      <w:r>
        <w:rPr>
          <w:rFonts w:hint="eastAsia"/>
          <w:lang w:val="en-US" w:eastAsia="zh-CN"/>
        </w:rPr>
        <w:t>中立性及合理性</w:t>
      </w:r>
      <w:r>
        <w:rPr>
          <w:rFonts w:hint="eastAsia"/>
        </w:rPr>
        <w:t>原则，其鉴定结论的客观</w:t>
      </w:r>
      <w:r>
        <w:rPr>
          <w:rFonts w:hint="eastAsia"/>
          <w:lang w:val="en-US" w:eastAsia="zh-CN"/>
        </w:rPr>
        <w:t>性与</w:t>
      </w:r>
      <w:r>
        <w:rPr>
          <w:rFonts w:hint="eastAsia"/>
        </w:rPr>
        <w:t>公正性</w:t>
      </w:r>
      <w:r>
        <w:rPr>
          <w:rFonts w:hint="eastAsia"/>
          <w:lang w:val="en-US" w:eastAsia="zh-CN"/>
        </w:rPr>
        <w:t>严重存疑</w:t>
      </w:r>
      <w:r>
        <w:rPr>
          <w:rFonts w:hint="eastAsia"/>
        </w:rPr>
        <w:t>。</w:t>
      </w:r>
    </w:p>
    <w:p w14:paraId="12B0F5D4">
      <w:pPr>
        <w:bidi w:val="0"/>
        <w:rPr>
          <w:rFonts w:hint="eastAsia"/>
          <w:b/>
          <w:bCs/>
          <w:lang w:val="en-US" w:eastAsia="zh-CN"/>
        </w:rPr>
      </w:pPr>
      <w:r>
        <w:rPr>
          <w:rFonts w:hint="eastAsia"/>
          <w:b/>
          <w:bCs/>
        </w:rPr>
        <w:t xml:space="preserve">3. </w:t>
      </w:r>
      <w:r>
        <w:rPr>
          <w:rFonts w:hint="eastAsia"/>
          <w:b/>
          <w:bCs/>
          <w:lang w:val="en-US" w:eastAsia="zh-CN"/>
        </w:rPr>
        <w:t>鉴定意见所依据的检材未经质证，真实性存疑。</w:t>
      </w:r>
    </w:p>
    <w:p w14:paraId="3A4E7695">
      <w:pPr>
        <w:bidi w:val="0"/>
        <w:rPr>
          <w:rFonts w:hint="default"/>
          <w:lang w:val="en-US" w:eastAsia="zh-CN"/>
        </w:rPr>
      </w:pPr>
      <w:r>
        <w:rPr>
          <w:rFonts w:hint="eastAsia"/>
          <w:lang w:val="en-US" w:eastAsia="zh-CN"/>
        </w:rPr>
        <w:t>本案鉴定意见所依据的病历、影像资料等检材均由被上诉人单方提供，未经上诉人质证确认。且相关材料均为被上诉人住院期间以及出院后仅一个月的检查报告，鉴定时，被上诉人的伤情远未达到“治疗终结”的稳定状态。故该鉴定意见无法客观反映被上诉人治疗终结后真实身体健康状况。</w:t>
      </w:r>
    </w:p>
    <w:p w14:paraId="2A108E60">
      <w:pPr>
        <w:bidi w:val="0"/>
        <w:rPr>
          <w:rFonts w:hint="eastAsia"/>
          <w:b/>
          <w:bCs/>
        </w:rPr>
      </w:pPr>
      <w:r>
        <w:rPr>
          <w:rFonts w:hint="eastAsia"/>
          <w:b/>
          <w:bCs/>
          <w:lang w:val="en-US" w:eastAsia="zh-CN"/>
        </w:rPr>
        <w:t xml:space="preserve">4. </w:t>
      </w:r>
      <w:r>
        <w:rPr>
          <w:rFonts w:hint="eastAsia"/>
          <w:b/>
          <w:bCs/>
        </w:rPr>
        <w:t>鉴定结论与客观</w:t>
      </w:r>
      <w:r>
        <w:rPr>
          <w:rFonts w:hint="eastAsia"/>
          <w:b/>
          <w:bCs/>
          <w:lang w:val="en-US" w:eastAsia="zh-CN"/>
        </w:rPr>
        <w:t>事实严重不符</w:t>
      </w:r>
      <w:r>
        <w:rPr>
          <w:rFonts w:hint="eastAsia"/>
          <w:b/>
          <w:bCs/>
        </w:rPr>
        <w:t>。</w:t>
      </w:r>
    </w:p>
    <w:p w14:paraId="6C71A61B">
      <w:pPr>
        <w:bidi w:val="0"/>
        <w:rPr>
          <w:rFonts w:hint="eastAsia"/>
        </w:rPr>
      </w:pPr>
      <w:r>
        <w:rPr>
          <w:rFonts w:hint="eastAsia"/>
        </w:rPr>
        <w:t>首先，一审已查明被上诉人的出院医嘱仅为“</w:t>
      </w:r>
      <w:r>
        <w:rPr>
          <w:rFonts w:hint="eastAsia"/>
          <w:b/>
          <w:bCs/>
        </w:rPr>
        <w:t>建议全休壹个月</w:t>
      </w:r>
      <w:r>
        <w:rPr>
          <w:rFonts w:hint="eastAsia"/>
        </w:rPr>
        <w:t>”，并未要求专人护理或加强营养</w:t>
      </w:r>
      <w:r>
        <w:rPr>
          <w:rFonts w:hint="eastAsia"/>
          <w:lang w:eastAsia="zh-CN"/>
        </w:rPr>
        <w:t>。</w:t>
      </w:r>
      <w:r>
        <w:rPr>
          <w:rFonts w:hint="eastAsia"/>
          <w:lang w:val="en-US" w:eastAsia="zh-CN"/>
        </w:rPr>
        <w:t>且根据被上诉人一审提交的证据，被上诉人于2024年5月底就开始恢复正常工作，获取工资收入，</w:t>
      </w:r>
      <w:r>
        <w:rPr>
          <w:rFonts w:hint="eastAsia"/>
        </w:rPr>
        <w:t>而</w:t>
      </w:r>
      <w:r>
        <w:rPr>
          <w:rFonts w:hint="eastAsia"/>
          <w:lang w:val="en-US" w:eastAsia="zh-CN"/>
        </w:rPr>
        <w:t>一审法院却仍然按照</w:t>
      </w:r>
      <w:r>
        <w:rPr>
          <w:rFonts w:hint="eastAsia"/>
        </w:rPr>
        <w:t>鉴定意见认定</w:t>
      </w:r>
      <w:r>
        <w:rPr>
          <w:rFonts w:hint="eastAsia"/>
          <w:lang w:eastAsia="zh-CN"/>
        </w:rPr>
        <w:t>的</w:t>
      </w:r>
      <w:r>
        <w:rPr>
          <w:rFonts w:hint="eastAsia"/>
        </w:rPr>
        <w:t>误工期120日、护理期90日、营养期60日</w:t>
      </w:r>
      <w:r>
        <w:rPr>
          <w:rFonts w:hint="eastAsia"/>
          <w:lang w:val="en-US" w:eastAsia="zh-CN"/>
        </w:rPr>
        <w:t>计算各项赔偿标准</w:t>
      </w:r>
      <w:r>
        <w:rPr>
          <w:rFonts w:hint="eastAsia"/>
        </w:rPr>
        <w:t>，远超医嘱建议及必要限度，</w:t>
      </w:r>
      <w:r>
        <w:rPr>
          <w:rFonts w:hint="eastAsia"/>
          <w:lang w:val="en-US" w:eastAsia="zh-CN"/>
        </w:rPr>
        <w:t>既</w:t>
      </w:r>
      <w:r>
        <w:rPr>
          <w:rFonts w:hint="eastAsia"/>
        </w:rPr>
        <w:t>缺乏医学依据</w:t>
      </w:r>
      <w:r>
        <w:rPr>
          <w:rFonts w:hint="eastAsia"/>
          <w:lang w:eastAsia="zh-CN"/>
        </w:rPr>
        <w:t>，</w:t>
      </w:r>
      <w:r>
        <w:rPr>
          <w:rFonts w:hint="eastAsia"/>
          <w:lang w:val="en-US" w:eastAsia="zh-CN"/>
        </w:rPr>
        <w:t>又缺乏事实与法律依据</w:t>
      </w:r>
      <w:r>
        <w:rPr>
          <w:rFonts w:hint="eastAsia"/>
        </w:rPr>
        <w:t>。</w:t>
      </w:r>
    </w:p>
    <w:p w14:paraId="5AF47E7E">
      <w:pPr>
        <w:bidi w:val="0"/>
        <w:rPr>
          <w:rFonts w:hint="eastAsia"/>
        </w:rPr>
      </w:pPr>
      <w:r>
        <w:rPr>
          <w:rFonts w:hint="eastAsia"/>
        </w:rPr>
        <w:t>其次，该鉴定意见认定“左膝关节被动活动功能部分丧失小于25%”，但未提供专业的关节活动度（ROM）检测数据或计算方式，仅凭主观查体得出结论，缺乏科学性。</w:t>
      </w:r>
    </w:p>
    <w:p w14:paraId="27ECC557">
      <w:pPr>
        <w:bidi w:val="0"/>
        <w:rPr>
          <w:rFonts w:hint="eastAsia"/>
          <w:b/>
          <w:bCs/>
        </w:rPr>
      </w:pPr>
      <w:r>
        <w:rPr>
          <w:rFonts w:hint="eastAsia"/>
          <w:b/>
          <w:bCs/>
        </w:rPr>
        <w:t>三、</w:t>
      </w:r>
      <w:r>
        <w:rPr>
          <w:rFonts w:hint="eastAsia"/>
          <w:b/>
          <w:bCs/>
          <w:lang w:val="en-US" w:eastAsia="zh-CN"/>
        </w:rPr>
        <w:t>即便认定上诉人与被上诉人存在劳务关系，</w:t>
      </w:r>
      <w:r>
        <w:rPr>
          <w:rFonts w:hint="eastAsia"/>
          <w:b/>
          <w:bCs/>
        </w:rPr>
        <w:t>一审判决责任划分失衡</w:t>
      </w:r>
      <w:r>
        <w:rPr>
          <w:rFonts w:hint="eastAsia"/>
          <w:b/>
          <w:bCs/>
          <w:lang w:eastAsia="zh-CN"/>
        </w:rPr>
        <w:t>，</w:t>
      </w:r>
      <w:r>
        <w:rPr>
          <w:rFonts w:hint="eastAsia"/>
          <w:b/>
          <w:bCs/>
          <w:lang w:val="en-US" w:eastAsia="zh-CN"/>
        </w:rPr>
        <w:t>导致判决显失公平</w:t>
      </w:r>
      <w:r>
        <w:rPr>
          <w:rFonts w:hint="eastAsia"/>
          <w:b/>
          <w:bCs/>
        </w:rPr>
        <w:t>。</w:t>
      </w:r>
    </w:p>
    <w:p w14:paraId="674BA908">
      <w:pPr>
        <w:bidi w:val="0"/>
        <w:rPr>
          <w:rFonts w:hint="default"/>
          <w:b/>
          <w:bCs/>
          <w:lang w:val="en-US" w:eastAsia="zh-CN"/>
        </w:rPr>
      </w:pPr>
      <w:r>
        <w:rPr>
          <w:rFonts w:hint="eastAsia"/>
          <w:b/>
          <w:bCs/>
          <w:lang w:val="en-US" w:eastAsia="zh-CN"/>
        </w:rPr>
        <w:t>（一）被上诉人的损害后果系其自身重大过错导致，其应当自行承担事故的全部或主要责任。</w:t>
      </w:r>
    </w:p>
    <w:p w14:paraId="79E373F2">
      <w:pPr>
        <w:bidi w:val="0"/>
        <w:rPr>
          <w:rFonts w:hint="eastAsia"/>
          <w:lang w:val="en-US" w:eastAsia="zh-CN"/>
        </w:rPr>
      </w:pPr>
      <w:r>
        <w:rPr>
          <w:rFonts w:hint="eastAsia"/>
          <w:lang w:val="en-US" w:eastAsia="zh-CN"/>
        </w:rPr>
        <w:t>首先，</w:t>
      </w:r>
      <w:r>
        <w:rPr>
          <w:rFonts w:hint="eastAsia"/>
        </w:rPr>
        <w:t>被上诉人此前曾从事门窗、大理石等材料的切割加工，</w:t>
      </w:r>
      <w:r>
        <w:rPr>
          <w:rFonts w:hint="eastAsia"/>
          <w:lang w:val="en-US" w:eastAsia="zh-CN"/>
        </w:rPr>
        <w:t>充分了解</w:t>
      </w:r>
      <w:r>
        <w:rPr>
          <w:rFonts w:hint="eastAsia"/>
        </w:rPr>
        <w:t>涉角磨机的操作规范和安全风险</w:t>
      </w:r>
      <w:r>
        <w:rPr>
          <w:rFonts w:hint="eastAsia"/>
          <w:lang w:eastAsia="zh-CN"/>
        </w:rPr>
        <w:t>。</w:t>
      </w:r>
      <w:r>
        <w:rPr>
          <w:rFonts w:hint="eastAsia"/>
          <w:lang w:val="en-US" w:eastAsia="zh-CN"/>
        </w:rPr>
        <w:t>其应当具备基本的安全意识，采取必要的防护措施而未采取。</w:t>
      </w:r>
    </w:p>
    <w:p w14:paraId="00545258">
      <w:pPr>
        <w:bidi w:val="0"/>
        <w:rPr>
          <w:rFonts w:hint="eastAsia"/>
        </w:rPr>
      </w:pPr>
      <w:r>
        <w:rPr>
          <w:rFonts w:hint="eastAsia"/>
          <w:lang w:val="en-US" w:eastAsia="zh-CN"/>
        </w:rPr>
        <w:t>其次，洗衣盆的加工生产，主要依靠</w:t>
      </w:r>
      <w:r>
        <w:rPr>
          <w:rFonts w:hint="eastAsia"/>
        </w:rPr>
        <w:t>上肢操作</w:t>
      </w:r>
      <w:r>
        <w:rPr>
          <w:rFonts w:hint="eastAsia"/>
          <w:lang w:val="en-US" w:eastAsia="zh-CN"/>
        </w:rPr>
        <w:t>设备</w:t>
      </w:r>
      <w:r>
        <w:rPr>
          <w:rFonts w:hint="eastAsia"/>
        </w:rPr>
        <w:t>，</w:t>
      </w:r>
      <w:r>
        <w:rPr>
          <w:rFonts w:hint="eastAsia"/>
          <w:lang w:val="en-US" w:eastAsia="zh-CN"/>
        </w:rPr>
        <w:t>但被上诉人受伤的部位是左膝关节，该损害后果明显</w:t>
      </w:r>
      <w:r>
        <w:rPr>
          <w:rFonts w:hint="eastAsia"/>
        </w:rPr>
        <w:t>系自身违反操作规程、严重疏忽大意</w:t>
      </w:r>
      <w:r>
        <w:rPr>
          <w:rFonts w:hint="eastAsia"/>
          <w:lang w:val="en-US" w:eastAsia="zh-CN"/>
        </w:rPr>
        <w:t>直接导致</w:t>
      </w:r>
      <w:r>
        <w:rPr>
          <w:rFonts w:hint="eastAsia"/>
        </w:rPr>
        <w:t>，应认定存在重大过失。</w:t>
      </w:r>
    </w:p>
    <w:p w14:paraId="6D55C040">
      <w:pPr>
        <w:bidi w:val="0"/>
        <w:rPr>
          <w:rFonts w:hint="eastAsia"/>
          <w:b/>
          <w:bCs/>
        </w:rPr>
      </w:pPr>
      <w:r>
        <w:rPr>
          <w:rFonts w:hint="eastAsia"/>
          <w:b/>
          <w:bCs/>
          <w:lang w:eastAsia="zh-CN"/>
        </w:rPr>
        <w:t>（</w:t>
      </w:r>
      <w:r>
        <w:rPr>
          <w:rFonts w:hint="eastAsia"/>
          <w:b/>
          <w:bCs/>
          <w:lang w:val="en-US" w:eastAsia="zh-CN"/>
        </w:rPr>
        <w:t>二</w:t>
      </w:r>
      <w:r>
        <w:rPr>
          <w:rFonts w:hint="eastAsia"/>
          <w:b/>
          <w:bCs/>
          <w:lang w:eastAsia="zh-CN"/>
        </w:rPr>
        <w:t>）</w:t>
      </w:r>
      <w:r>
        <w:rPr>
          <w:rFonts w:hint="eastAsia"/>
          <w:b/>
          <w:bCs/>
          <w:lang w:val="en-US" w:eastAsia="zh-CN"/>
        </w:rPr>
        <w:t>一审判决认定责任比例严重失衡。</w:t>
      </w:r>
    </w:p>
    <w:p w14:paraId="3DE7A5A7">
      <w:pPr>
        <w:bidi w:val="0"/>
        <w:rPr>
          <w:rFonts w:hint="eastAsia"/>
        </w:rPr>
      </w:pPr>
      <w:r>
        <w:rPr>
          <w:rFonts w:hint="eastAsia"/>
        </w:rPr>
        <w:t>根据《民法典》第</w:t>
      </w:r>
      <w:r>
        <w:rPr>
          <w:rFonts w:hint="eastAsia"/>
          <w:lang w:val="en-US" w:eastAsia="zh-CN"/>
        </w:rPr>
        <w:t>1173</w:t>
      </w:r>
      <w:r>
        <w:rPr>
          <w:rFonts w:hint="eastAsia"/>
        </w:rPr>
        <w:t>条“被侵权人对同一损害的发生或者扩大有过错的，可以减轻侵权人的责任”及第</w:t>
      </w:r>
      <w:r>
        <w:rPr>
          <w:rFonts w:hint="eastAsia"/>
          <w:lang w:val="en-US" w:eastAsia="zh-CN"/>
        </w:rPr>
        <w:t>1192</w:t>
      </w:r>
      <w:r>
        <w:rPr>
          <w:rFonts w:hint="eastAsia"/>
        </w:rPr>
        <w:t>条第一款“提供劳务一方因劳务受到损害的，根据双方各自的过错承担相应的责任”之规定，被上诉人的重大过失是损害发生的直接和主要原因。一审判决认定上诉人承担70%的主要责任，而被上诉人仅负30%的次要责任，与过错程度严重不符。</w:t>
      </w:r>
    </w:p>
    <w:p w14:paraId="513BEF23">
      <w:pPr>
        <w:bidi w:val="0"/>
        <w:rPr>
          <w:rFonts w:hint="default" w:eastAsia="仿宋"/>
          <w:b/>
          <w:bCs/>
          <w:lang w:val="en-US" w:eastAsia="zh-CN"/>
        </w:rPr>
      </w:pPr>
      <w:r>
        <w:rPr>
          <w:rFonts w:hint="eastAsia"/>
          <w:b/>
          <w:bCs/>
        </w:rPr>
        <w:t>四、一审判决</w:t>
      </w:r>
      <w:r>
        <w:rPr>
          <w:rFonts w:hint="eastAsia"/>
          <w:b/>
          <w:bCs/>
          <w:lang w:val="en-US" w:eastAsia="zh-CN"/>
        </w:rPr>
        <w:t>认定的赔偿费用存在错误。</w:t>
      </w:r>
    </w:p>
    <w:p w14:paraId="7BFC9344">
      <w:pPr>
        <w:bidi w:val="0"/>
        <w:rPr>
          <w:rFonts w:hint="eastAsia"/>
        </w:rPr>
      </w:pPr>
      <w:r>
        <w:rPr>
          <w:rFonts w:hint="eastAsia"/>
          <w:b/>
          <w:bCs/>
        </w:rPr>
        <w:t>1. 误工费：</w:t>
      </w:r>
      <w:r>
        <w:rPr>
          <w:rFonts w:hint="eastAsia"/>
          <w:lang w:val="en-US" w:eastAsia="zh-CN"/>
        </w:rPr>
        <w:t>如前所述，被上诉人于2024年5月底已恢复正常工作，获取报酬，被上诉人的实际误工期远低于鉴定意见认定的120日，一审法院仍然按照120日计算误工费明显不当</w:t>
      </w:r>
      <w:r>
        <w:rPr>
          <w:rFonts w:hint="eastAsia"/>
        </w:rPr>
        <w:t>。</w:t>
      </w:r>
    </w:p>
    <w:p w14:paraId="23AAA21A">
      <w:pPr>
        <w:bidi w:val="0"/>
        <w:rPr>
          <w:rFonts w:hint="eastAsia"/>
        </w:rPr>
      </w:pPr>
      <w:r>
        <w:rPr>
          <w:rFonts w:hint="eastAsia"/>
          <w:b/>
          <w:bCs/>
        </w:rPr>
        <w:t>2. 鉴定费：</w:t>
      </w:r>
      <w:r>
        <w:rPr>
          <w:rFonts w:hint="eastAsia"/>
        </w:rPr>
        <w:t>该费用系被上诉人违反法定程序单方委托鉴定所产生的费用，依法应由其自行承担。一审判决判令上诉人承担1300元鉴定费，缺乏法律依据。</w:t>
      </w:r>
    </w:p>
    <w:p w14:paraId="6419765E">
      <w:pPr>
        <w:bidi w:val="0"/>
        <w:rPr>
          <w:rFonts w:hint="eastAsia"/>
        </w:rPr>
      </w:pPr>
      <w:r>
        <w:rPr>
          <w:rFonts w:hint="eastAsia"/>
          <w:b/>
          <w:bCs/>
        </w:rPr>
        <w:t xml:space="preserve">3. </w:t>
      </w:r>
      <w:r>
        <w:rPr>
          <w:rFonts w:hint="eastAsia"/>
          <w:b/>
          <w:bCs/>
          <w:lang w:val="en-US" w:eastAsia="zh-CN"/>
        </w:rPr>
        <w:t>护理费、</w:t>
      </w:r>
      <w:r>
        <w:rPr>
          <w:rFonts w:hint="eastAsia"/>
          <w:b/>
          <w:bCs/>
        </w:rPr>
        <w:t>营养费：</w:t>
      </w:r>
      <w:r>
        <w:rPr>
          <w:rFonts w:hint="eastAsia"/>
        </w:rPr>
        <w:t xml:space="preserve"> </w:t>
      </w:r>
      <w:r>
        <w:rPr>
          <w:rFonts w:hint="eastAsia"/>
          <w:lang w:val="en-US" w:eastAsia="zh-CN"/>
        </w:rPr>
        <w:t>在案证据无任何</w:t>
      </w:r>
      <w:r>
        <w:rPr>
          <w:rFonts w:hint="eastAsia"/>
        </w:rPr>
        <w:t>医嘱要求</w:t>
      </w:r>
      <w:r>
        <w:rPr>
          <w:rFonts w:hint="eastAsia"/>
          <w:lang w:val="en-US" w:eastAsia="zh-CN"/>
        </w:rPr>
        <w:t>被上诉人</w:t>
      </w:r>
      <w:r>
        <w:rPr>
          <w:rFonts w:hint="eastAsia"/>
        </w:rPr>
        <w:t>“加强营养”</w:t>
      </w:r>
      <w:r>
        <w:rPr>
          <w:rFonts w:hint="eastAsia"/>
          <w:lang w:val="en-US" w:eastAsia="zh-CN"/>
        </w:rPr>
        <w:t>或“需要陪护”，一审法院依据程序严重违法的鉴定支持被上诉人关于护理费及营养费的诉请</w:t>
      </w:r>
      <w:r>
        <w:rPr>
          <w:rFonts w:hint="eastAsia"/>
        </w:rPr>
        <w:t>缺乏事实</w:t>
      </w:r>
      <w:r>
        <w:rPr>
          <w:rFonts w:hint="eastAsia"/>
          <w:lang w:val="en-US" w:eastAsia="zh-CN"/>
        </w:rPr>
        <w:t>与法律</w:t>
      </w:r>
      <w:r>
        <w:rPr>
          <w:rFonts w:hint="eastAsia"/>
        </w:rPr>
        <w:t>依据。</w:t>
      </w:r>
    </w:p>
    <w:p w14:paraId="355705ED">
      <w:pPr>
        <w:bidi w:val="0"/>
        <w:rPr>
          <w:rFonts w:hint="default" w:eastAsia="仿宋"/>
          <w:lang w:val="en-US" w:eastAsia="zh-CN"/>
        </w:rPr>
      </w:pPr>
      <w:r>
        <w:rPr>
          <w:rFonts w:hint="eastAsia"/>
          <w:b/>
          <w:bCs/>
        </w:rPr>
        <w:t xml:space="preserve">4. </w:t>
      </w:r>
      <w:r>
        <w:rPr>
          <w:rFonts w:hint="eastAsia"/>
          <w:b/>
          <w:bCs/>
          <w:lang w:val="en-US" w:eastAsia="zh-CN"/>
        </w:rPr>
        <w:t>交通费：</w:t>
      </w:r>
      <w:r>
        <w:rPr>
          <w:rFonts w:hint="eastAsia"/>
          <w:b w:val="0"/>
          <w:bCs w:val="0"/>
          <w:lang w:val="en-US" w:eastAsia="zh-CN"/>
        </w:rPr>
        <w:t>在被上诉人未能提交任何有效票据证明交通费已实际发生的情况下，一审法院认定交通费180元无事实依据。</w:t>
      </w:r>
    </w:p>
    <w:p w14:paraId="3FDED375">
      <w:pPr>
        <w:numPr>
          <w:ilvl w:val="0"/>
          <w:numId w:val="2"/>
        </w:numPr>
        <w:bidi w:val="0"/>
        <w:rPr>
          <w:rFonts w:hint="eastAsia"/>
        </w:rPr>
      </w:pPr>
      <w:r>
        <w:rPr>
          <w:rFonts w:hint="eastAsia"/>
          <w:b/>
          <w:bCs/>
        </w:rPr>
        <w:t>精神损害抚慰金：</w:t>
      </w:r>
      <w:r>
        <w:rPr>
          <w:rFonts w:hint="eastAsia"/>
        </w:rPr>
        <w:t>本案事</w:t>
      </w:r>
      <w:bookmarkStart w:id="0" w:name="_GoBack"/>
      <w:bookmarkEnd w:id="0"/>
      <w:r>
        <w:rPr>
          <w:rFonts w:hint="eastAsia"/>
        </w:rPr>
        <w:t>故系被上诉人重大过失导致，且上诉人并非法律意义上的侵权责任主体。一审判决判令上诉人支付1000元精神损害抚慰金</w:t>
      </w:r>
      <w:r>
        <w:rPr>
          <w:rFonts w:hint="eastAsia"/>
          <w:lang w:val="en-US" w:eastAsia="zh-CN"/>
        </w:rPr>
        <w:t>缺乏法律依据。</w:t>
      </w:r>
    </w:p>
    <w:p w14:paraId="0CAF438A">
      <w:pPr>
        <w:bidi w:val="0"/>
        <w:rPr>
          <w:rFonts w:hint="eastAsia"/>
        </w:rPr>
      </w:pPr>
      <w:r>
        <w:rPr>
          <w:rFonts w:hint="eastAsia"/>
        </w:rPr>
        <w:t>综上所述，一审判决</w:t>
      </w:r>
      <w:r>
        <w:rPr>
          <w:rFonts w:hint="eastAsia"/>
          <w:lang w:val="en-US" w:eastAsia="zh-CN"/>
        </w:rPr>
        <w:t>认定事实及适用法律、证据采信均存在严重错误</w:t>
      </w:r>
      <w:r>
        <w:rPr>
          <w:rFonts w:hint="eastAsia"/>
        </w:rPr>
        <w:t>。为维护上诉人的合法权益，恳请二审法院依法查明事实，撤销原判，改判驳回被上诉人的全部诉讼请求。</w:t>
      </w:r>
    </w:p>
    <w:p w14:paraId="4418AF2F">
      <w:pPr>
        <w:bidi w:val="0"/>
        <w:rPr>
          <w:rFonts w:hint="eastAsia"/>
        </w:rPr>
      </w:pPr>
      <w:r>
        <w:rPr>
          <w:rFonts w:hint="eastAsia"/>
        </w:rPr>
        <w:t>此致</w:t>
      </w:r>
    </w:p>
    <w:p w14:paraId="02058867">
      <w:pPr>
        <w:bidi w:val="0"/>
        <w:ind w:firstLine="0" w:firstLineChars="0"/>
        <w:rPr>
          <w:rFonts w:hint="eastAsia"/>
        </w:rPr>
      </w:pPr>
      <w:r>
        <w:rPr>
          <w:rFonts w:hint="eastAsia"/>
        </w:rPr>
        <w:t>南宁市中级人民法院</w:t>
      </w:r>
    </w:p>
    <w:p w14:paraId="14270FB8">
      <w:pPr>
        <w:wordWrap w:val="0"/>
        <w:bidi w:val="0"/>
        <w:ind w:firstLine="0" w:firstLineChars="0"/>
        <w:jc w:val="right"/>
        <w:rPr>
          <w:rFonts w:hint="eastAsia"/>
          <w:lang w:val="en-US" w:eastAsia="zh-CN"/>
        </w:rPr>
      </w:pPr>
      <w:r>
        <w:rPr>
          <w:rFonts w:hint="eastAsia"/>
          <w:lang w:val="en-US" w:eastAsia="zh-CN"/>
        </w:rPr>
        <w:t xml:space="preserve">上诉人：          </w:t>
      </w:r>
    </w:p>
    <w:p w14:paraId="294E813B">
      <w:pPr>
        <w:wordWrap w:val="0"/>
        <w:bidi w:val="0"/>
        <w:ind w:firstLine="0" w:firstLineChars="0"/>
        <w:jc w:val="right"/>
        <w:rPr>
          <w:rFonts w:hint="eastAsia"/>
        </w:rPr>
      </w:pPr>
      <w:r>
        <w:rPr>
          <w:rFonts w:hint="eastAsia"/>
          <w:lang w:val="en-US" w:eastAsia="zh-CN"/>
        </w:rPr>
        <w:t xml:space="preserve">日  期：          </w:t>
      </w:r>
    </w:p>
    <w:sectPr>
      <w:pgSz w:w="11906" w:h="16838"/>
      <w:pgMar w:top="1383" w:right="1800" w:bottom="1383"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640"/>
      </w:pPr>
      <w:r>
        <w:separator/>
      </w:r>
    </w:p>
  </w:footnote>
  <w:footnote w:type="continuationSeparator" w:id="1">
    <w:p>
      <w:pPr>
        <w:spacing w:before="0" w:after="0"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0917C4"/>
    <w:multiLevelType w:val="singleLevel"/>
    <w:tmpl w:val="CD0917C4"/>
    <w:lvl w:ilvl="0" w:tentative="0">
      <w:start w:val="2"/>
      <w:numFmt w:val="decimal"/>
      <w:suff w:val="space"/>
      <w:lvlText w:val="%1."/>
      <w:lvlJc w:val="left"/>
    </w:lvl>
  </w:abstractNum>
  <w:abstractNum w:abstractNumId="1">
    <w:nsid w:val="4D052487"/>
    <w:multiLevelType w:val="singleLevel"/>
    <w:tmpl w:val="4D052487"/>
    <w:lvl w:ilvl="0" w:tentative="0">
      <w:start w:val="5"/>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51100F"/>
    <w:rsid w:val="002D0B97"/>
    <w:rsid w:val="00537FF5"/>
    <w:rsid w:val="007751FB"/>
    <w:rsid w:val="008926A2"/>
    <w:rsid w:val="00950240"/>
    <w:rsid w:val="009D5E88"/>
    <w:rsid w:val="00A6299F"/>
    <w:rsid w:val="00AC3181"/>
    <w:rsid w:val="00D45BC0"/>
    <w:rsid w:val="00E731EC"/>
    <w:rsid w:val="00F20CEA"/>
    <w:rsid w:val="01525838"/>
    <w:rsid w:val="035241C7"/>
    <w:rsid w:val="03577A2F"/>
    <w:rsid w:val="03D86BB5"/>
    <w:rsid w:val="042C2C6A"/>
    <w:rsid w:val="05ED6429"/>
    <w:rsid w:val="067B1C86"/>
    <w:rsid w:val="09075A53"/>
    <w:rsid w:val="12C77E8D"/>
    <w:rsid w:val="15BF327D"/>
    <w:rsid w:val="16B74615"/>
    <w:rsid w:val="1C534DE0"/>
    <w:rsid w:val="1D721295"/>
    <w:rsid w:val="1E4C1AE7"/>
    <w:rsid w:val="1E51100F"/>
    <w:rsid w:val="201B5C14"/>
    <w:rsid w:val="23A128D5"/>
    <w:rsid w:val="2A1A3714"/>
    <w:rsid w:val="2C3F06C9"/>
    <w:rsid w:val="2E2F6D2F"/>
    <w:rsid w:val="2F204FF5"/>
    <w:rsid w:val="32F742BF"/>
    <w:rsid w:val="374970B3"/>
    <w:rsid w:val="38561A88"/>
    <w:rsid w:val="398048E2"/>
    <w:rsid w:val="398854FA"/>
    <w:rsid w:val="3E9F580B"/>
    <w:rsid w:val="43030A5E"/>
    <w:rsid w:val="4555081B"/>
    <w:rsid w:val="45CC33BA"/>
    <w:rsid w:val="52651237"/>
    <w:rsid w:val="5BEF797A"/>
    <w:rsid w:val="63E76C6F"/>
    <w:rsid w:val="687F3380"/>
    <w:rsid w:val="6A0E546F"/>
    <w:rsid w:val="6E4753F3"/>
    <w:rsid w:val="6FD71C4D"/>
    <w:rsid w:val="72255A4C"/>
    <w:rsid w:val="740A314B"/>
    <w:rsid w:val="742629CC"/>
    <w:rsid w:val="74850A24"/>
    <w:rsid w:val="798968C0"/>
    <w:rsid w:val="7B4E1B6F"/>
    <w:rsid w:val="7B984886"/>
    <w:rsid w:val="7BDC717B"/>
    <w:rsid w:val="7D1D5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480" w:lineRule="exact"/>
      <w:ind w:firstLine="883" w:firstLineChars="200"/>
      <w:jc w:val="both"/>
    </w:pPr>
    <w:rPr>
      <w:rFonts w:eastAsia="仿宋" w:asciiTheme="minorAscii" w:hAnsiTheme="minorAscii" w:cstheme="minorBidi"/>
      <w:kern w:val="2"/>
      <w:sz w:val="32"/>
      <w:szCs w:val="24"/>
      <w:lang w:val="en-US" w:eastAsia="zh-CN" w:bidi="ar-SA"/>
    </w:rPr>
  </w:style>
  <w:style w:type="paragraph" w:styleId="2">
    <w:name w:val="heading 1"/>
    <w:basedOn w:val="1"/>
    <w:next w:val="1"/>
    <w:qFormat/>
    <w:uiPriority w:val="0"/>
    <w:pPr>
      <w:spacing w:beforeLines="150" w:beforeAutospacing="0" w:after="150" w:afterLines="150" w:afterAutospacing="0"/>
      <w:jc w:val="center"/>
      <w:outlineLvl w:val="0"/>
    </w:pPr>
    <w:rPr>
      <w:rFonts w:hint="eastAsia" w:ascii="宋体" w:hAnsi="宋体" w:eastAsia="黑体" w:cs="Times New Roman"/>
      <w:b/>
      <w:bCs/>
      <w:kern w:val="44"/>
      <w:sz w:val="44"/>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iPriority w:val="0"/>
    <w:pPr>
      <w:tabs>
        <w:tab w:val="center" w:pos="4153"/>
        <w:tab w:val="right" w:pos="8306"/>
      </w:tabs>
      <w:snapToGrid w:val="0"/>
      <w:jc w:val="left"/>
    </w:pPr>
    <w:rPr>
      <w:sz w:val="18"/>
      <w:szCs w:val="18"/>
    </w:rPr>
  </w:style>
  <w:style w:type="paragraph" w:styleId="6">
    <w:name w:val="header"/>
    <w:basedOn w:val="1"/>
    <w:link w:val="10"/>
    <w:uiPriority w:val="0"/>
    <w:pPr>
      <w:tabs>
        <w:tab w:val="center" w:pos="4153"/>
        <w:tab w:val="right" w:pos="8306"/>
      </w:tabs>
      <w:snapToGrid w:val="0"/>
      <w:jc w:val="center"/>
    </w:pPr>
    <w:rPr>
      <w:sz w:val="18"/>
      <w:szCs w:val="18"/>
    </w:rPr>
  </w:style>
  <w:style w:type="character" w:styleId="9">
    <w:name w:val="Strong"/>
    <w:basedOn w:val="8"/>
    <w:qFormat/>
    <w:uiPriority w:val="0"/>
    <w:rPr>
      <w:b/>
    </w:rPr>
  </w:style>
  <w:style w:type="character" w:customStyle="1" w:styleId="10">
    <w:name w:val="页眉 字符"/>
    <w:basedOn w:val="8"/>
    <w:link w:val="6"/>
    <w:uiPriority w:val="0"/>
    <w:rPr>
      <w:rFonts w:asciiTheme="minorHAnsi" w:hAnsiTheme="minorHAnsi" w:eastAsiaTheme="minorEastAsia" w:cstheme="minorBidi"/>
      <w:kern w:val="2"/>
      <w:sz w:val="18"/>
      <w:szCs w:val="18"/>
    </w:rPr>
  </w:style>
  <w:style w:type="character" w:customStyle="1" w:styleId="11">
    <w:name w:val="页脚 字符"/>
    <w:basedOn w:val="8"/>
    <w:link w:val="5"/>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2133</Words>
  <Characters>2251</Characters>
  <Lines>49</Lines>
  <Paragraphs>25</Paragraphs>
  <TotalTime>0</TotalTime>
  <ScaleCrop>false</ScaleCrop>
  <LinksUpToDate>false</LinksUpToDate>
  <CharactersWithSpaces>2277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2026-04-07T02:57:00Z</dcterms:created>
  <dc:creator>火鸡味锅巴</dc:creator>
  <cp:lastModifiedBy>wss</cp:lastModifiedBy>
  <dcterms:modified xsi:type="dcterms:W3CDTF">2026-04-07T09:32:14Z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62BD9EF188E04C67BDF1255DFC73B4BC_13</vt:lpwstr>
  </property>
  <property fmtid="{D5CDD505-2E9C-101B-9397-08002B2CF9AE}" pid="4" name="KSOTemplateDocerSaveRecord">
    <vt:lpwstr>eyJoZGlkIjoiZGNkMmIzMDYxODQ5OTJjZjc3Y2RhNTFiMzBiMjQ0YmYiLCJ1c2VySWQiOiIxMTAyNDcyNiJ9</vt:lpwstr>
  </property>
</Properties>
</file>