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仿宋_GB2312" w:hAnsi="仿宋_GB2312"/>
          <w:sz w:val="32"/>
        </w:rPr>
        <w:t>民事上诉状</w:t>
      </w:r>
    </w:p>
    <w:p>
      <w:r>
        <w:rPr>
          <w:rFonts w:ascii="仿宋_GB2312" w:hAnsi="仿宋_GB2312"/>
          <w:sz w:val="32"/>
        </w:rPr>
        <w:t>上诉人（原审被告）：杨刚，男，成年，住南宁市武鸣区双桥镇[详细住所]，公民身份号码[身份证号]</w:t>
      </w:r>
    </w:p>
    <w:p>
      <w:r>
        <w:rPr>
          <w:rFonts w:ascii="仿宋_GB2312" w:hAnsi="仿宋_GB2312"/>
          <w:sz w:val="32"/>
        </w:rPr>
        <w:t>被上诉人（原审原告）：杨江，男，成年，住[详细住所]，公民身份号码[身份证号]</w:t>
      </w:r>
    </w:p>
    <w:p>
      <w:r>
        <w:rPr>
          <w:rFonts w:ascii="仿宋_GB2312" w:hAnsi="仿宋_GB2312"/>
          <w:sz w:val="32"/>
        </w:rPr>
        <w:t>上诉请求</w:t>
      </w:r>
    </w:p>
    <w:p>
      <w:r>
        <w:rPr>
          <w:rFonts w:ascii="仿宋_GB2312" w:hAnsi="仿宋_GB2312"/>
          <w:sz w:val="32"/>
        </w:rPr>
        <w:t>1. 撤销南宁市武鸣区人民法院（2025）桂0110民初6381号民事判决</w:t>
      </w:r>
    </w:p>
    <w:p>
      <w:r>
        <w:rPr>
          <w:rFonts w:ascii="仿宋_GB2312" w:hAnsi="仿宋_GB2312"/>
          <w:sz w:val="32"/>
        </w:rPr>
        <w:t>2. 改判驳回被上诉人杨江的全部诉讼请求</w:t>
      </w:r>
    </w:p>
    <w:p>
      <w:r>
        <w:rPr>
          <w:rFonts w:ascii="仿宋_GB2312" w:hAnsi="仿宋_GB2312"/>
          <w:sz w:val="32"/>
        </w:rPr>
        <w:t>3. 本案一审、二审诉讼费用由被上诉人承担</w:t>
      </w:r>
    </w:p>
    <w:p>
      <w:r>
        <w:rPr>
          <w:rFonts w:ascii="仿宋_GB2312" w:hAnsi="仿宋_GB2312"/>
          <w:sz w:val="32"/>
        </w:rPr>
        <w:t>上诉人因与被上诉人提供劳务者受害责任纠纷一案，不服南宁市武鸣区人民法院作出的（2025）桂0110民初6381号民事判决（以下简称一审判决），现依法提出上诉。</w:t>
      </w:r>
    </w:p>
    <w:p>
      <w:r>
        <w:rPr>
          <w:rFonts w:ascii="仿宋_GB2312" w:hAnsi="仿宋_GB2312"/>
          <w:sz w:val="32"/>
        </w:rPr>
        <w:t>事实与理由</w:t>
      </w:r>
    </w:p>
    <w:p>
      <w:r>
        <w:rPr>
          <w:rFonts w:ascii="仿宋_GB2312" w:hAnsi="仿宋_GB2312"/>
          <w:sz w:val="32"/>
        </w:rPr>
        <w:t>一、上诉人与被上诉人不存在劳务关系</w:t>
      </w:r>
    </w:p>
    <w:p>
      <w:r>
        <w:rPr>
          <w:rFonts w:ascii="仿宋_GB2312" w:hAnsi="仿宋_GB2312"/>
          <w:sz w:val="32"/>
        </w:rPr>
        <w:t>1. 一审判决认定上诉人雇佣被上诉人从事洗衣盆加工,与事实不符。首先,上诉人从未直接向被上诉人支付工资。被上诉人一审提交的银行转账记录显示,工资由案外人杨莱华（杨老三）支付,并非上诉人支付。其次,上诉人从未对被上诉人进行选任、指挥、监督。被上诉人的工作安排、工作流程、操作方式等均不由上诉人决定和管理。第三,上诉人支付的医疗费4759.43元和1000元款项,系基于双方系堂兄弟关系的人道主义帮助,并非对劳务关系的确认。上诉人出于亲属情谊提供帮助,不能据此认定双方存在劳务关系。</w:t>
      </w:r>
    </w:p>
    <w:p>
      <w:r>
        <w:rPr>
          <w:rFonts w:ascii="仿宋_GB2312" w:hAnsi="仿宋_GB2312"/>
          <w:sz w:val="32"/>
        </w:rPr>
        <w:t>2. 一审法院在未查明劳务关系基本事实的情况下,适用《中华人民共和国民法典》第一千一百九十二条关于个人劳务关系的规定,属于适用法律错误。该条适用的前提是个人之间形成劳务关系,但本案中上诉人与被上诉人不存在劳务关系,不应适用该条款。</w:t>
      </w:r>
    </w:p>
    <w:p>
      <w:r>
        <w:rPr>
          <w:rFonts w:ascii="仿宋_GB2312" w:hAnsi="仿宋_GB2312"/>
          <w:sz w:val="32"/>
        </w:rPr>
        <w:t>二、鉴定程序严重违法,鉴定意见不应被采信</w:t>
      </w:r>
    </w:p>
    <w:p>
      <w:r>
        <w:rPr>
          <w:rFonts w:ascii="仿宋_GB2312" w:hAnsi="仿宋_GB2312"/>
          <w:sz w:val="32"/>
        </w:rPr>
        <w:t>1. 鉴定未经协商,违反法定程序。根据《中华人民共和国民事诉讼法》第七十九条规定,当事人申请鉴定的,由双方当事人协商确定具备资格的鉴定人。根据《最高人民法院关于民事诉讼证据的若干规定》第三十二条规定,人民法院准许鉴定申请的,应当组织双方当事人协商确定具备相应资格的鉴定人。本案中,被上诉人单方委托毕节市第一人民医院司法鉴定所进行鉴定,未经上诉人同意,亦未经人民法院组织协商,程序违法。</w:t>
      </w:r>
    </w:p>
    <w:p>
      <w:r>
        <w:rPr>
          <w:rFonts w:ascii="仿宋_GB2312" w:hAnsi="仿宋_GB2312"/>
          <w:sz w:val="32"/>
        </w:rPr>
        <w:t>2. 鉴定时机不当。被上诉人受伤时间为2024年3月6日,住院6天后出院。根据医学常识,伤情需要一定时间稳定后才能准确评估伤残等级。被上诉人在伤情尚未稳定的情况下即进行鉴定,鉴定结论的准确性存在重大疑问。</w:t>
      </w:r>
    </w:p>
    <w:p>
      <w:r>
        <w:rPr>
          <w:rFonts w:ascii="仿宋_GB2312" w:hAnsi="仿宋_GB2312"/>
          <w:sz w:val="32"/>
        </w:rPr>
        <w:t>3. 鉴定机构选择不合理。被上诉人受伤地点在广西南宁市武鸣区,南宁市有多家具备资质的司法鉴定机构,但被上诉人舍近求远选择贵州省毕节市的鉴定机构,其选择的合理性存疑。</w:t>
      </w:r>
    </w:p>
    <w:p>
      <w:r>
        <w:rPr>
          <w:rFonts w:ascii="仿宋_GB2312" w:hAnsi="仿宋_GB2312"/>
          <w:sz w:val="32"/>
        </w:rPr>
        <w:t>4. 鉴定意见未经质证。根据《最高人民法院关于民事诉讼证据的若干规定》的相关规定,鉴定意见应当经过质证才能作为认定事实的依据。本案中,上诉人对鉴定意见提出异议,但一审法院未经充分质证即采信该鉴定意见,程序违法。</w:t>
      </w:r>
    </w:p>
    <w:p>
      <w:r>
        <w:rPr>
          <w:rFonts w:ascii="仿宋_GB2312" w:hAnsi="仿宋_GB2312"/>
          <w:sz w:val="32"/>
        </w:rPr>
        <w:t>三、赔偿计算存在明显错误</w:t>
      </w:r>
    </w:p>
    <w:p>
      <w:r>
        <w:rPr>
          <w:rFonts w:ascii="仿宋_GB2312" w:hAnsi="仿宋_GB2312"/>
          <w:sz w:val="32"/>
        </w:rPr>
        <w:t>1. 误工费计算错误。首先,根据《最高人民法院关于审理人身损害赔偿案件适用法律若干问题的解释》第七条规定,误工时间根据受害人接受治疗的医疗机构出具的证明确定。被上诉人未能提供医疗机构出具的误工证明,仅凭鉴定意见认定的120日计算误工费,依据不足。其次,被上诉人一审提交的证据5显示,被上诉人于2024年5月底已返回工作岗位并取得报酬10038元。该证据表明,被上诉人实际误工时间远短于鉴定认定的120日。一审判决按120日计算误工费16788元,与被上诉人实际误工情况不符,应当予以核减。</w:t>
      </w:r>
    </w:p>
    <w:p>
      <w:r>
        <w:rPr>
          <w:rFonts w:ascii="仿宋_GB2312" w:hAnsi="仿宋_GB2312"/>
          <w:sz w:val="32"/>
        </w:rPr>
        <w:t>2. 鉴定费承担错误。本案鉴定系被上诉人单方委托,未经上诉人同意,亦未经人民法院组织。在鉴定程序违法、鉴定意见不应被采信的情况下,鉴定费1300元应当由被上诉人自行承担。一审判决判令上诉人承担鉴定费,无法律依据。</w:t>
      </w:r>
    </w:p>
    <w:p>
      <w:r>
        <w:rPr>
          <w:rFonts w:ascii="仿宋_GB2312" w:hAnsi="仿宋_GB2312"/>
          <w:sz w:val="32"/>
        </w:rPr>
        <w:t>3. 护理费、营养费缺乏医嘱支持。护理费、营养费的认定应当以医疗机构出具的医嘱为依据。本案中,被上诉人未能提供医疗机构出具的需要护理和营养的医嘱证明,仅凭鉴定意见认定护理期90日、营养期60日,并据此计算护理费12960元、营养费1800元,缺乏事实依据。鉴定意见不能替代医疗机构的医嘱证明。</w:t>
      </w:r>
    </w:p>
    <w:p>
      <w:r>
        <w:rPr>
          <w:rFonts w:ascii="仿宋_GB2312" w:hAnsi="仿宋_GB2312"/>
          <w:sz w:val="32"/>
        </w:rPr>
        <w:t>4. 精神损害抚慰金认定不当。在双方不存在劳务关系、鉴定程序违法、赔偿计算错误的情况下,一审判决判令上诉人承担精神损害抚慰金1000元,缺乏事实和法律依据。</w:t>
      </w:r>
    </w:p>
    <w:p>
      <w:r>
        <w:rPr>
          <w:rFonts w:ascii="仿宋_GB2312" w:hAnsi="仿宋_GB2312"/>
          <w:sz w:val="32"/>
        </w:rPr>
        <w:t>四、责任比例划分不当</w:t>
      </w:r>
    </w:p>
    <w:p>
      <w:r>
        <w:rPr>
          <w:rFonts w:ascii="仿宋_GB2312" w:hAnsi="仿宋_GB2312"/>
          <w:sz w:val="32"/>
        </w:rPr>
        <w:t>即使认定上诉人应当承担责任（上诉人对此明确否认）,一审判决上诉人承担70%责任、被上诉人承担30%责任的比例划分也不当。被上诉人在使用角磨机过程中未尽安全注意义务,存在重大过失,应当承担更高比例的责任。被上诉人作为完全民事行为能力人,在使用危险工具时应当采取必要的安全防护措施,其未采取防护措施导致自身受伤,应当承担主要责任。</w:t>
      </w:r>
    </w:p>
    <w:p>
      <w:r>
        <w:rPr>
          <w:rFonts w:ascii="仿宋_GB2312" w:hAnsi="仿宋_GB2312"/>
          <w:sz w:val="32"/>
        </w:rPr>
        <w:t>综上所述,一审判决认定上诉人与被上诉人存在劳务关系缺乏事实依据,采信程序违法的鉴定意见属于程序违法,赔偿计算存在明显错误,责任比例划分不当。为维护上诉人的合法权益,恳请二审法院依法查明事实,撤销一审判决,改判驳回被上诉人的全部诉讼请求。</w:t>
      </w:r>
    </w:p>
    <w:p>
      <w:pPr>
        <w:ind w:firstLine="0"/>
        <w:jc w:val="center"/>
      </w:pPr>
      <w:r>
        <w:rPr>
          <w:rFonts w:ascii="仿宋_GB2312" w:hAnsi="仿宋_GB2312"/>
          <w:sz w:val="32"/>
        </w:rPr>
        <w:t>此致</w:t>
      </w:r>
    </w:p>
    <w:p>
      <w:r>
        <w:rPr>
          <w:rFonts w:ascii="仿宋_GB2312" w:hAnsi="仿宋_GB2312"/>
          <w:sz w:val="32"/>
        </w:rPr>
        <w:t>南宁市中级人民法院</w:t>
      </w:r>
    </w:p>
    <w:p>
      <w:pPr>
        <w:ind w:firstLine="0"/>
        <w:jc w:val="right"/>
      </w:pPr>
      <w:r>
        <w:rPr>
          <w:rFonts w:ascii="仿宋_GB2312" w:hAnsi="仿宋_GB2312"/>
          <w:sz w:val="32"/>
        </w:rPr>
        <w:t>上诉人：杨刚</w:t>
      </w:r>
    </w:p>
    <w:p>
      <w:r>
        <w:rPr>
          <w:rFonts w:ascii="仿宋_GB2312" w:hAnsi="仿宋_GB2312"/>
          <w:sz w:val="32"/>
        </w:rPr>
        <w:t>[日期]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 w:before="0" w:after="0"/>
      <w:ind w:firstLine="420"/>
    </w:pPr>
    <w:rPr>
      <w:rFonts w:ascii="仿宋_GB2312" w:hAnsi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