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电梯安装工程纠纷法律分析报告</w:t>
      </w:r>
    </w:p>
    <w:p>
      <w:pPr>
        <w:jc w:val="center"/>
      </w:pPr>
      <w:r>
        <w:rPr>
          <w:rFonts w:ascii="Microsoft YaHei" w:hAnsi="Microsoft YaHei" w:eastAsia="Microsoft YaHei"/>
          <w:b w:val="0"/>
          <w:color w:val="666666"/>
          <w:sz w:val="20"/>
        </w:rPr>
        <w:t>分析日期：2026年3月30日    |    案件类型：建设工程施工合同纠纷</w:t>
      </w:r>
    </w:p>
    <w:p/>
    <w:p>
      <w:pPr>
        <w:pStyle w:val="Heading1"/>
      </w:pPr>
      <w:r>
        <w:t>一、争议焦点提炼</w:t>
      </w:r>
    </w:p>
    <w:p>
      <w:pPr>
        <w:pStyle w:val="Heading2"/>
      </w:pPr>
      <w:r>
        <w:t>（一）核心争议</w:t>
      </w:r>
    </w:p>
    <w:p>
      <w:r>
        <w:rPr>
          <w:rFonts w:ascii="Microsoft YaHei" w:hAnsi="Microsoft YaHei" w:eastAsia="Microsoft YaHei"/>
          <w:b/>
          <w:sz w:val="24"/>
        </w:rPr>
        <w:t>本案核心争议：电梯安装工程是否已经验收合格？</w:t>
      </w:r>
    </w:p>
    <w:p>
      <w:pPr>
        <w:pStyle w:val="Heading2"/>
      </w:pPr>
      <w:r>
        <w:t>（二）四大争议焦点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编号</w:t>
            </w:r>
          </w:p>
        </w:tc>
        <w:tc>
          <w:tcPr>
            <w:tcW w:type="dxa" w:w="2160"/>
          </w:tcPr>
          <w:p>
            <w:r>
              <w:rPr>
                <w:b/>
              </w:rPr>
              <w:t>争议焦点</w:t>
            </w:r>
          </w:p>
        </w:tc>
        <w:tc>
          <w:tcPr>
            <w:tcW w:type="dxa" w:w="2160"/>
          </w:tcPr>
          <w:p>
            <w:r>
              <w:rPr>
                <w:b/>
              </w:rPr>
              <w:t>上诉人观点</w:t>
            </w:r>
          </w:p>
        </w:tc>
        <w:tc>
          <w:tcPr>
            <w:tcW w:type="dxa" w:w="2160"/>
          </w:tcPr>
          <w:p>
            <w:r>
              <w:rPr>
                <w:b/>
              </w:rPr>
              <w:t>被上诉人观点</w:t>
            </w:r>
          </w:p>
        </w:tc>
      </w:tr>
      <w:tr>
        <w:tc>
          <w:tcPr>
            <w:tcW w:type="dxa" w:w="2160"/>
          </w:tcPr>
          <w:p>
            <w:r>
              <w:t>1</w:t>
            </w:r>
          </w:p>
        </w:tc>
        <w:tc>
          <w:tcPr>
            <w:tcW w:type="dxa" w:w="2160"/>
          </w:tcPr>
          <w:p>
            <w:r>
              <w:t>验收标准认定</w:t>
            </w:r>
          </w:p>
        </w:tc>
        <w:tc>
          <w:tcPr>
            <w:tcW w:type="dxa" w:w="2160"/>
          </w:tcPr>
          <w:p>
            <w:r>
              <w:t>《电梯监督检验报告》即为验收合格</w:t>
            </w:r>
          </w:p>
        </w:tc>
        <w:tc>
          <w:tcPr>
            <w:tcW w:type="dxa" w:w="2160"/>
          </w:tcPr>
          <w:p>
            <w:r>
              <w:t>与合同约定的竣工验收内容不一致</w:t>
            </w:r>
          </w:p>
        </w:tc>
      </w:tr>
      <w:tr>
        <w:tc>
          <w:tcPr>
            <w:tcW w:type="dxa" w:w="2160"/>
          </w:tcPr>
          <w:p>
            <w:r>
              <w:t>2</w:t>
            </w:r>
          </w:p>
        </w:tc>
        <w:tc>
          <w:tcPr>
            <w:tcW w:type="dxa" w:w="2160"/>
          </w:tcPr>
          <w:p>
            <w:r>
              <w:t>擅自使用的法律后果</w:t>
            </w:r>
          </w:p>
        </w:tc>
        <w:tc>
          <w:tcPr>
            <w:tcW w:type="dxa" w:w="2160"/>
          </w:tcPr>
          <w:p>
            <w:r>
              <w:t>电梯已投入使用，应视为已竣工验收</w:t>
            </w:r>
          </w:p>
        </w:tc>
        <w:tc>
          <w:tcPr>
            <w:tcW w:type="dxa" w:w="2160"/>
          </w:tcPr>
          <w:p>
            <w:r>
              <w:t>未经过合同约定的竣工验收程序</w:t>
            </w:r>
          </w:p>
        </w:tc>
      </w:tr>
      <w:tr>
        <w:tc>
          <w:tcPr>
            <w:tcW w:type="dxa" w:w="2160"/>
          </w:tcPr>
          <w:p>
            <w:r>
              <w:t>3</w:t>
            </w:r>
          </w:p>
        </w:tc>
        <w:tc>
          <w:tcPr>
            <w:tcW w:type="dxa" w:w="2160"/>
          </w:tcPr>
          <w:p>
            <w:r>
              <w:t>合同目的实现</w:t>
            </w:r>
          </w:p>
        </w:tc>
        <w:tc>
          <w:tcPr>
            <w:tcW w:type="dxa" w:w="2160"/>
          </w:tcPr>
          <w:p>
            <w:r>
              <w:t>电梯已交付使用+资料已移交</w:t>
            </w:r>
          </w:p>
        </w:tc>
        <w:tc>
          <w:tcPr>
            <w:tcW w:type="dxa" w:w="2160"/>
          </w:tcPr>
          <w:p>
            <w:r>
              <w:t>未通过合同约定的竣工验收</w:t>
            </w:r>
          </w:p>
        </w:tc>
      </w:tr>
      <w:tr>
        <w:tc>
          <w:tcPr>
            <w:tcW w:type="dxa" w:w="2160"/>
          </w:tcPr>
          <w:p>
            <w:r>
              <w:t>4</w:t>
            </w:r>
          </w:p>
        </w:tc>
        <w:tc>
          <w:tcPr>
            <w:tcW w:type="dxa" w:w="2160"/>
          </w:tcPr>
          <w:p>
            <w:r>
              <w:t>尾款支付义务</w:t>
            </w:r>
          </w:p>
        </w:tc>
        <w:tc>
          <w:tcPr>
            <w:tcW w:type="dxa" w:w="2160"/>
          </w:tcPr>
          <w:p>
            <w:r>
              <w:t>被上诉人应支付尾款</w:t>
            </w:r>
          </w:p>
        </w:tc>
        <w:tc>
          <w:tcPr>
            <w:tcW w:type="dxa" w:w="2160"/>
          </w:tcPr>
          <w:p>
            <w:r>
              <w:t>有权拒付</w:t>
            </w:r>
          </w:p>
        </w:tc>
      </w:tr>
    </w:tbl>
    <w:p>
      <w:pPr>
        <w:pStyle w:val="Heading2"/>
      </w:pPr>
      <w:r>
        <w:t>（三）关键事实时间线</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时间</w:t>
            </w:r>
          </w:p>
        </w:tc>
        <w:tc>
          <w:tcPr>
            <w:tcW w:type="dxa" w:w="2880"/>
          </w:tcPr>
          <w:p>
            <w:r>
              <w:rPr>
                <w:b/>
              </w:rPr>
              <w:t>事实</w:t>
            </w:r>
          </w:p>
        </w:tc>
        <w:tc>
          <w:tcPr>
            <w:tcW w:type="dxa" w:w="2880"/>
          </w:tcPr>
          <w:p>
            <w:r>
              <w:rPr>
                <w:b/>
              </w:rPr>
              <w:t>证明文件</w:t>
            </w:r>
          </w:p>
        </w:tc>
      </w:tr>
      <w:tr>
        <w:tc>
          <w:tcPr>
            <w:tcW w:type="dxa" w:w="2880"/>
          </w:tcPr>
          <w:p>
            <w:r>
              <w:t>2024-03-29</w:t>
            </w:r>
          </w:p>
        </w:tc>
        <w:tc>
          <w:tcPr>
            <w:tcW w:type="dxa" w:w="2880"/>
          </w:tcPr>
          <w:p>
            <w:r>
              <w:t>17台电梯取得监督检验报告</w:t>
            </w:r>
          </w:p>
        </w:tc>
        <w:tc>
          <w:tcPr>
            <w:tcW w:type="dxa" w:w="2880"/>
          </w:tcPr>
          <w:p>
            <w:r>
              <w:t>《电梯监督检验报告》（广西特检院）</w:t>
            </w:r>
          </w:p>
        </w:tc>
      </w:tr>
      <w:tr>
        <w:tc>
          <w:tcPr>
            <w:tcW w:type="dxa" w:w="2880"/>
          </w:tcPr>
          <w:p>
            <w:r>
              <w:t>2024-04-18</w:t>
            </w:r>
          </w:p>
        </w:tc>
        <w:tc>
          <w:tcPr>
            <w:tcW w:type="dxa" w:w="2880"/>
          </w:tcPr>
          <w:p>
            <w:r>
              <w:t>取得特种设备使用登记证</w:t>
            </w:r>
          </w:p>
        </w:tc>
        <w:tc>
          <w:tcPr>
            <w:tcW w:type="dxa" w:w="2880"/>
          </w:tcPr>
          <w:p>
            <w:r>
              <w:t>《特种设备使用登记证》（河池市监局）</w:t>
            </w:r>
          </w:p>
        </w:tc>
      </w:tr>
      <w:tr>
        <w:tc>
          <w:tcPr>
            <w:tcW w:type="dxa" w:w="2880"/>
          </w:tcPr>
          <w:p>
            <w:r>
              <w:t>2024-04-18后</w:t>
            </w:r>
          </w:p>
        </w:tc>
        <w:tc>
          <w:tcPr>
            <w:tcW w:type="dxa" w:w="2880"/>
          </w:tcPr>
          <w:p>
            <w:r>
              <w:t>电梯已投入使用</w:t>
            </w:r>
          </w:p>
        </w:tc>
        <w:tc>
          <w:tcPr>
            <w:tcW w:type="dxa" w:w="2880"/>
          </w:tcPr>
          <w:p>
            <w:r>
              <w:t>—</w:t>
            </w:r>
          </w:p>
        </w:tc>
      </w:tr>
      <w:tr>
        <w:tc>
          <w:tcPr>
            <w:tcW w:type="dxa" w:w="2880"/>
          </w:tcPr>
          <w:p>
            <w:r>
              <w:t>已完成</w:t>
            </w:r>
          </w:p>
        </w:tc>
        <w:tc>
          <w:tcPr>
            <w:tcW w:type="dxa" w:w="2880"/>
          </w:tcPr>
          <w:p>
            <w:r>
              <w:t>电梯及相关资料移交</w:t>
            </w:r>
          </w:p>
        </w:tc>
        <w:tc>
          <w:tcPr>
            <w:tcW w:type="dxa" w:w="2880"/>
          </w:tcPr>
          <w:p>
            <w:r>
              <w:t>—</w:t>
            </w:r>
          </w:p>
        </w:tc>
      </w:tr>
    </w:tbl>
    <w:p>
      <w:pPr>
        <w:pStyle w:val="Heading1"/>
      </w:pPr>
      <w:r>
        <w:t>二、核心法律依据</w:t>
      </w:r>
    </w:p>
    <w:p>
      <w:r>
        <w:rPr>
          <w:rFonts w:ascii="Microsoft YaHei" w:hAnsi="Microsoft YaHei" w:eastAsia="Microsoft YaHei"/>
          <w:b/>
          <w:sz w:val="24"/>
        </w:rPr>
        <w:t>1. 《民法典》第七百九十九条（禁止性规定）</w:t>
      </w:r>
    </w:p>
    <w:p>
      <w:r>
        <w:rPr>
          <w:rFonts w:ascii="Microsoft YaHei" w:hAnsi="Microsoft YaHei" w:eastAsia="Microsoft YaHei"/>
          <w:b/>
          <w:sz w:val="24"/>
        </w:rPr>
        <w:t>条文内容：</w:t>
      </w:r>
      <w:r>
        <w:t>"建设工程竣工经验收合格后，方可交付使用；未经验收或者验收不合格的，不得交付使用。"</w:t>
      </w:r>
    </w:p>
    <w:p>
      <w:r>
        <w:rPr>
          <w:rFonts w:ascii="Microsoft YaHei" w:hAnsi="Microsoft YaHei" w:eastAsia="Microsoft YaHei"/>
          <w:b/>
          <w:color w:val="C00000"/>
          <w:sz w:val="24"/>
        </w:rPr>
        <w:t>法律性质：</w:t>
      </w:r>
      <w:r>
        <w:rPr>
          <w:rFonts w:ascii="Microsoft YaHei" w:hAnsi="Microsoft YaHei" w:eastAsia="Microsoft YaHei"/>
          <w:b w:val="0"/>
          <w:color w:val="C00000"/>
          <w:sz w:val="24"/>
        </w:rPr>
        <w:t>此条为</w:t>
      </w:r>
      <w:r>
        <w:rPr>
          <w:rFonts w:ascii="Microsoft YaHei" w:hAnsi="Microsoft YaHei" w:eastAsia="Microsoft YaHei"/>
          <w:b/>
          <w:color w:val="C00000"/>
          <w:sz w:val="24"/>
        </w:rPr>
        <w:t>禁止性规定</w:t>
      </w:r>
      <w:r>
        <w:rPr>
          <w:rFonts w:ascii="Microsoft YaHei" w:hAnsi="Microsoft YaHei" w:eastAsia="Microsoft YaHei"/>
          <w:b w:val="0"/>
          <w:color w:val="C00000"/>
          <w:sz w:val="24"/>
        </w:rPr>
        <w:t>，该条文本身</w:t>
      </w:r>
      <w:r>
        <w:rPr>
          <w:rFonts w:ascii="Microsoft YaHei" w:hAnsi="Microsoft YaHei" w:eastAsia="Microsoft YaHei"/>
          <w:b/>
          <w:color w:val="C00000"/>
          <w:sz w:val="24"/>
        </w:rPr>
        <w:t>并未规定</w:t>
      </w:r>
      <w:r>
        <w:rPr>
          <w:rFonts w:ascii="Microsoft YaHei" w:hAnsi="Microsoft YaHei" w:eastAsia="Microsoft YaHei"/>
          <w:b w:val="0"/>
          <w:color w:val="C00000"/>
          <w:sz w:val="24"/>
        </w:rPr>
        <w:t>"擅自使用即视为验收合格"的法律后果。</w:t>
      </w:r>
    </w:p>
    <w:p>
      <w:r>
        <w:rPr>
          <w:rFonts w:ascii="Microsoft YaHei" w:hAnsi="Microsoft YaHei" w:eastAsia="Microsoft YaHei"/>
          <w:b/>
          <w:sz w:val="24"/>
        </w:rPr>
        <w:t>2. 《最高人民法院关于审理建设工程施工合同纠纷案件适用法律问题的解释（一）》</w:t>
      </w:r>
    </w:p>
    <w:p>
      <w:r>
        <w:t xml:space="preserve">    （法释〔2020〕25号，2021年1月1日施行）</w:t>
      </w:r>
    </w:p>
    <w:p>
      <w:r>
        <w:rPr>
          <w:rFonts w:ascii="Microsoft YaHei" w:hAnsi="Microsoft YaHei" w:eastAsia="Microsoft YaHei"/>
          <w:b/>
          <w:color w:val="0070C0"/>
          <w:sz w:val="24"/>
        </w:rPr>
        <w:t xml:space="preserve">    ★ 第十四条（擅自使用的法律后果）</w:t>
      </w:r>
    </w:p>
    <w:p>
      <w:r>
        <w:rPr>
          <w:i/>
        </w:rPr>
        <w:t xml:space="preserve">        第三款："建设工程未经竣工验收，发包人擅自使用的，以转移占有建设工程之日为竣工日期。"</w:t>
      </w:r>
    </w:p>
    <w:p>
      <w:r>
        <w:rPr>
          <w:i/>
        </w:rPr>
        <w:t xml:space="preserve">        第一款："建设工程未经竣工验收，发包人擅自使用后，又以使用部分质量不符合约定为由主张权利的，人民法院不予支持。"</w:t>
      </w:r>
    </w:p>
    <w:p>
      <w:r>
        <w:rPr>
          <w:rFonts w:ascii="Microsoft YaHei" w:hAnsi="Microsoft YaHei" w:eastAsia="Microsoft YaHei"/>
          <w:b/>
          <w:sz w:val="24"/>
        </w:rPr>
        <w:t xml:space="preserve">        【法律后果】</w:t>
      </w:r>
      <w:r>
        <w:t>发包人擅自使用后，</w:t>
      </w:r>
      <w:r>
        <w:rPr>
          <w:rFonts w:ascii="Microsoft YaHei" w:hAnsi="Microsoft YaHei" w:eastAsia="Microsoft YaHei"/>
          <w:b/>
          <w:sz w:val="24"/>
        </w:rPr>
        <w:t>不得以质量问题为由拒付工程款</w:t>
      </w:r>
      <w:r>
        <w:t>，且应以转移占有之日为竣工日期。</w:t>
      </w:r>
    </w:p>
    <w:p>
      <w:r>
        <w:rPr>
          <w:rFonts w:ascii="Microsoft YaHei" w:hAnsi="Microsoft YaHei" w:eastAsia="Microsoft YaHei"/>
          <w:b/>
          <w:color w:val="C00000"/>
          <w:sz w:val="24"/>
        </w:rPr>
        <w:t>⚠️ 论证逻辑：</w:t>
      </w:r>
      <w:r>
        <w:t>《民法典》第799条确立"验收合格才能使用"的原则（禁止性规定）→ 发包人违反该原则擅自使用 → 依据司法解释第十四条，产生"视为已竣工验收"的法律后果</w:t>
      </w:r>
    </w:p>
    <w:p>
      <w:pPr>
        <w:pStyle w:val="Heading1"/>
      </w:pPr>
      <w:r>
        <w:t>三、类案检索报告</w:t>
      </w:r>
    </w:p>
    <w:p>
      <w:r>
        <w:rPr>
          <w:rFonts w:ascii="Microsoft YaHei" w:hAnsi="Microsoft YaHei" w:eastAsia="Microsoft YaHei"/>
          <w:b/>
          <w:sz w:val="24"/>
        </w:rPr>
        <w:t>【检索条件】</w:t>
      </w:r>
    </w:p>
    <w:p>
      <w:r>
        <w:t>• 案由：建设工程施工合同纠纷</w:t>
      </w:r>
    </w:p>
    <w:p>
      <w:r>
        <w:t>• 关键词：擅自使用、竣工验收、视为竣工</w:t>
      </w:r>
    </w:p>
    <w:p>
      <w:r>
        <w:t>• 法律依据：司法解释第十四条</w:t>
      </w:r>
    </w:p>
    <w:p>
      <w:r>
        <w:t>• 法院层级：最高人民法院</w:t>
      </w:r>
    </w:p>
    <w:p>
      <w:pPr>
        <w:pStyle w:val="Heading2"/>
      </w:pPr>
      <w:r>
        <w:t>最高院典型案例（附裁判文书网链接）</w:t>
      </w:r>
    </w:p>
    <w:p>
      <w:r>
        <w:rPr>
          <w:rFonts w:ascii="Microsoft YaHei" w:hAnsi="Microsoft YaHei" w:eastAsia="Microsoft YaHei"/>
          <w:b/>
          <w:color w:val="0070C0"/>
          <w:sz w:val="24"/>
        </w:rPr>
        <w:t>【案例信息】</w:t>
      </w:r>
    </w:p>
    <w:tbl>
      <w:tblPr>
        <w:tblStyle w:val="TableGrid"/>
        <w:tblW w:type="auto" w:w="0"/>
        <w:tblLook w:firstColumn="1" w:firstRow="1" w:lastColumn="0" w:lastRow="0" w:noHBand="0" w:noVBand="1" w:val="04A0"/>
      </w:tblPr>
      <w:tblGrid>
        <w:gridCol w:w="4320"/>
        <w:gridCol w:w="4320"/>
      </w:tblGrid>
      <w:tr>
        <w:tc>
          <w:tcPr>
            <w:tcW w:type="dxa" w:w="4320"/>
          </w:tcPr>
          <w:p>
            <w:r>
              <w:rPr>
                <w:b/>
              </w:rPr>
              <w:t>案号</w:t>
            </w:r>
          </w:p>
        </w:tc>
        <w:tc>
          <w:tcPr>
            <w:tcW w:type="dxa" w:w="4320"/>
          </w:tcPr>
          <w:p>
            <w:r>
              <w:t>（2021）最高法民终727号</w:t>
            </w:r>
          </w:p>
        </w:tc>
      </w:tr>
      <w:tr>
        <w:tc>
          <w:tcPr>
            <w:tcW w:type="dxa" w:w="4320"/>
          </w:tcPr>
          <w:p>
            <w:r>
              <w:rPr>
                <w:b/>
              </w:rPr>
              <w:t>法院</w:t>
            </w:r>
          </w:p>
        </w:tc>
        <w:tc>
          <w:tcPr>
            <w:tcW w:type="dxa" w:w="4320"/>
          </w:tcPr>
          <w:p>
            <w:r>
              <w:t>最高人民法院</w:t>
            </w:r>
          </w:p>
        </w:tc>
      </w:tr>
      <w:tr>
        <w:tc>
          <w:tcPr>
            <w:tcW w:type="dxa" w:w="4320"/>
          </w:tcPr>
          <w:p>
            <w:r>
              <w:rPr>
                <w:b/>
              </w:rPr>
              <w:t>裁判日期</w:t>
            </w:r>
          </w:p>
        </w:tc>
        <w:tc>
          <w:tcPr>
            <w:tcW w:type="dxa" w:w="4320"/>
          </w:tcPr>
          <w:p>
            <w:r>
              <w:t>2021年11月2日</w:t>
            </w:r>
          </w:p>
        </w:tc>
      </w:tr>
      <w:tr>
        <w:tc>
          <w:tcPr>
            <w:tcW w:type="dxa" w:w="4320"/>
          </w:tcPr>
          <w:p>
            <w:r>
              <w:rPr>
                <w:b/>
              </w:rPr>
              <w:t>案由</w:t>
            </w:r>
          </w:p>
        </w:tc>
        <w:tc>
          <w:tcPr>
            <w:tcW w:type="dxa" w:w="4320"/>
          </w:tcPr>
          <w:p>
            <w:r>
              <w:t>建设工程施工合同纠纷</w:t>
            </w:r>
          </w:p>
        </w:tc>
      </w:tr>
      <w:tr>
        <w:tc>
          <w:tcPr>
            <w:tcW w:type="dxa" w:w="4320"/>
          </w:tcPr>
          <w:p>
            <w:r>
              <w:rPr>
                <w:b/>
              </w:rPr>
              <w:t>当事人</w:t>
            </w:r>
          </w:p>
        </w:tc>
        <w:tc>
          <w:tcPr>
            <w:tcW w:type="dxa" w:w="4320"/>
          </w:tcPr>
          <w:p>
            <w:r>
              <w:t>申长松 vs 重庆市桓大建设（集团）有限公司、盘州市光明房地产开发有限责任公司</w:t>
            </w:r>
          </w:p>
        </w:tc>
      </w:tr>
      <w:tr>
        <w:tc>
          <w:tcPr>
            <w:tcW w:type="dxa" w:w="4320"/>
          </w:tcPr>
          <w:p>
            <w:r>
              <w:rPr>
                <w:b/>
              </w:rPr>
              <w:t>相关度</w:t>
            </w:r>
          </w:p>
        </w:tc>
        <w:tc>
          <w:tcPr>
            <w:tcW w:type="dxa" w:w="4320"/>
          </w:tcPr>
          <w:p>
            <w:r>
              <w:t>91%（与本案高度匹配）</w:t>
            </w:r>
          </w:p>
        </w:tc>
      </w:tr>
    </w:tbl>
    <w:p/>
    <w:p>
      <w:r>
        <w:rPr>
          <w:rFonts w:ascii="Microsoft YaHei" w:hAnsi="Microsoft YaHei" w:eastAsia="Microsoft YaHei"/>
          <w:b/>
          <w:color w:val="C00000"/>
          <w:sz w:val="24"/>
        </w:rPr>
        <w:t>【核心裁判要旨】</w:t>
      </w:r>
    </w:p>
    <w:p>
      <w:r>
        <w:rPr>
          <w:rFonts w:ascii="Microsoft YaHei" w:hAnsi="Microsoft YaHei" w:eastAsia="Microsoft YaHei"/>
          <w:b/>
          <w:sz w:val="24"/>
        </w:rPr>
        <w:t>最高人民法院认为：</w:t>
      </w:r>
    </w:p>
    <w:p>
      <w:r>
        <w:t>"申长松已对案涉工程垫资施工至砼主体结构形象工程断水，并交付给光明公司，</w:t>
      </w:r>
      <w:r>
        <w:rPr>
          <w:rFonts w:ascii="Microsoft YaHei" w:hAnsi="Microsoft YaHei" w:eastAsia="Microsoft YaHei"/>
          <w:b/>
          <w:color w:val="C00000"/>
          <w:sz w:val="24"/>
        </w:rPr>
        <w:t>光明公司已经接收该工程并投入使用</w:t>
      </w:r>
      <w:r>
        <w:t>。依照《建设工程案件解释》第二条和第十四条的规定，</w:t>
      </w:r>
      <w:r>
        <w:rPr>
          <w:rFonts w:ascii="Microsoft YaHei" w:hAnsi="Microsoft YaHei" w:eastAsia="Microsoft YaHei"/>
          <w:b/>
          <w:color w:val="C00000"/>
          <w:sz w:val="24"/>
        </w:rPr>
        <w:t>可视为案涉工程已经竣工验收</w:t>
      </w:r>
      <w:r>
        <w:t>，申长松有权依照合同约定请求光明公司支付工程款。"</w:t>
      </w:r>
    </w:p>
    <w:p/>
    <w:p>
      <w:r>
        <w:rPr>
          <w:rFonts w:ascii="Microsoft YaHei" w:hAnsi="Microsoft YaHei" w:eastAsia="Microsoft YaHei"/>
          <w:b/>
          <w:sz w:val="24"/>
        </w:rPr>
        <w:t>【引用的法律依据】</w:t>
      </w:r>
    </w:p>
    <w:p>
      <w:r>
        <w:t>• 《建设工程案件解释》第十四条："建设工程未经竣工验收，发包人擅自使用的，以转移占有建设工程之日为竣工日期。"</w:t>
      </w:r>
    </w:p>
    <w:p/>
    <w:p>
      <w:r>
        <w:rPr>
          <w:rFonts w:ascii="Microsoft YaHei" w:hAnsi="Microsoft YaHei" w:eastAsia="Microsoft YaHei"/>
          <w:b/>
          <w:color w:val="00B050"/>
          <w:sz w:val="24"/>
        </w:rPr>
        <w:t>【判决书原文链接】</w:t>
      </w:r>
    </w:p>
    <w:p>
      <w:hyperlink r:id="rId9">
        <w:r>
          <w:rPr>
            <w:color w:val="0563C1"/>
            <w:u w:val="single"/>
          </w:rPr>
          <w:t>▶ 点击查看裁判文书网原文</w:t>
        </w:r>
      </w:hyperlink>
    </w:p>
    <w:p/>
    <w:p>
      <w:r>
        <w:rPr>
          <w:rFonts w:ascii="Microsoft YaHei" w:hAnsi="Microsoft YaHei" w:eastAsia="Microsoft YaHei"/>
          <w:b/>
          <w:sz w:val="24"/>
        </w:rPr>
        <w:t>【与本案的匹配度分析】</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匹配要素</w:t>
            </w:r>
          </w:p>
        </w:tc>
        <w:tc>
          <w:tcPr>
            <w:tcW w:type="dxa" w:w="2160"/>
          </w:tcPr>
          <w:p>
            <w:r>
              <w:rPr>
                <w:b/>
              </w:rPr>
              <w:t>本案</w:t>
            </w:r>
          </w:p>
        </w:tc>
        <w:tc>
          <w:tcPr>
            <w:tcW w:type="dxa" w:w="2160"/>
          </w:tcPr>
          <w:p>
            <w:r>
              <w:rPr>
                <w:b/>
              </w:rPr>
              <w:t>（2021）最高法民终727号</w:t>
            </w:r>
          </w:p>
        </w:tc>
        <w:tc>
          <w:tcPr>
            <w:tcW w:type="dxa" w:w="2160"/>
          </w:tcPr>
          <w:p>
            <w:r>
              <w:rPr>
                <w:b/>
              </w:rPr>
              <w:t>匹配度</w:t>
            </w:r>
          </w:p>
        </w:tc>
      </w:tr>
      <w:tr>
        <w:tc>
          <w:tcPr>
            <w:tcW w:type="dxa" w:w="2160"/>
          </w:tcPr>
          <w:p>
            <w:r>
              <w:t>案由</w:t>
            </w:r>
          </w:p>
        </w:tc>
        <w:tc>
          <w:tcPr>
            <w:tcW w:type="dxa" w:w="2160"/>
          </w:tcPr>
          <w:p>
            <w:r>
              <w:t>建设工程施工合同纠纷</w:t>
            </w:r>
          </w:p>
        </w:tc>
        <w:tc>
          <w:tcPr>
            <w:tcW w:type="dxa" w:w="2160"/>
          </w:tcPr>
          <w:p>
            <w:r>
              <w:t>建设工程施工合同纠纷</w:t>
            </w:r>
          </w:p>
        </w:tc>
        <w:tc>
          <w:tcPr>
            <w:tcW w:type="dxa" w:w="2160"/>
          </w:tcPr>
          <w:p>
            <w:r>
              <w:t>✅ 完全匹配</w:t>
            </w:r>
          </w:p>
        </w:tc>
      </w:tr>
      <w:tr>
        <w:tc>
          <w:tcPr>
            <w:tcW w:type="dxa" w:w="2160"/>
          </w:tcPr>
          <w:p>
            <w:r>
              <w:t>核心争议</w:t>
            </w:r>
          </w:p>
        </w:tc>
        <w:tc>
          <w:tcPr>
            <w:tcW w:type="dxa" w:w="2160"/>
          </w:tcPr>
          <w:p>
            <w:r>
              <w:t>是否已竣工验收</w:t>
            </w:r>
          </w:p>
        </w:tc>
        <w:tc>
          <w:tcPr>
            <w:tcW w:type="dxa" w:w="2160"/>
          </w:tcPr>
          <w:p>
            <w:r>
              <w:t>是否已竣工验收</w:t>
            </w:r>
          </w:p>
        </w:tc>
        <w:tc>
          <w:tcPr>
            <w:tcW w:type="dxa" w:w="2160"/>
          </w:tcPr>
          <w:p>
            <w:r>
              <w:t>✅ 完全匹配</w:t>
            </w:r>
          </w:p>
        </w:tc>
      </w:tr>
      <w:tr>
        <w:tc>
          <w:tcPr>
            <w:tcW w:type="dxa" w:w="2160"/>
          </w:tcPr>
          <w:p>
            <w:r>
              <w:t>法律适用</w:t>
            </w:r>
          </w:p>
        </w:tc>
        <w:tc>
          <w:tcPr>
            <w:tcW w:type="dxa" w:w="2160"/>
          </w:tcPr>
          <w:p>
            <w:r>
              <w:t>司法解释第14条</w:t>
            </w:r>
          </w:p>
        </w:tc>
        <w:tc>
          <w:tcPr>
            <w:tcW w:type="dxa" w:w="2160"/>
          </w:tcPr>
          <w:p>
            <w:r>
              <w:t>司法解释第14条</w:t>
            </w:r>
          </w:p>
        </w:tc>
        <w:tc>
          <w:tcPr>
            <w:tcW w:type="dxa" w:w="2160"/>
          </w:tcPr>
          <w:p>
            <w:r>
              <w:t>✅ 完全匹配</w:t>
            </w:r>
          </w:p>
        </w:tc>
      </w:tr>
      <w:tr>
        <w:tc>
          <w:tcPr>
            <w:tcW w:type="dxa" w:w="2160"/>
          </w:tcPr>
          <w:p>
            <w:r>
              <w:t>关键事实</w:t>
            </w:r>
          </w:p>
        </w:tc>
        <w:tc>
          <w:tcPr>
            <w:tcW w:type="dxa" w:w="2160"/>
          </w:tcPr>
          <w:p>
            <w:r>
              <w:t>电梯已投入使用</w:t>
            </w:r>
          </w:p>
        </w:tc>
        <w:tc>
          <w:tcPr>
            <w:tcW w:type="dxa" w:w="2160"/>
          </w:tcPr>
          <w:p>
            <w:r>
              <w:t>工程已投入使用</w:t>
            </w:r>
          </w:p>
        </w:tc>
        <w:tc>
          <w:tcPr>
            <w:tcW w:type="dxa" w:w="2160"/>
          </w:tcPr>
          <w:p>
            <w:r>
              <w:t>✅ 完全匹配</w:t>
            </w:r>
          </w:p>
        </w:tc>
      </w:tr>
      <w:tr>
        <w:tc>
          <w:tcPr>
            <w:tcW w:type="dxa" w:w="2160"/>
          </w:tcPr>
          <w:p>
            <w:r>
              <w:t>裁判结果</w:t>
            </w:r>
          </w:p>
        </w:tc>
        <w:tc>
          <w:tcPr>
            <w:tcW w:type="dxa" w:w="2160"/>
          </w:tcPr>
          <w:p>
            <w:r>
              <w:t>待定</w:t>
            </w:r>
          </w:p>
        </w:tc>
        <w:tc>
          <w:tcPr>
            <w:tcW w:type="dxa" w:w="2160"/>
          </w:tcPr>
          <w:p>
            <w:r>
              <w:t>视为已竣工，应支付工程款</w:t>
            </w:r>
          </w:p>
        </w:tc>
        <w:tc>
          <w:tcPr>
            <w:tcW w:type="dxa" w:w="2160"/>
          </w:tcPr>
          <w:p>
            <w:r>
              <w:t>可参考</w:t>
            </w:r>
          </w:p>
        </w:tc>
      </w:tr>
    </w:tbl>
    <w:p/>
    <w:p>
      <w:r>
        <w:rPr>
          <w:rFonts w:ascii="Microsoft YaHei" w:hAnsi="Microsoft YaHei" w:eastAsia="Microsoft YaHei"/>
          <w:b/>
          <w:color w:val="70AD47"/>
          <w:sz w:val="24"/>
        </w:rPr>
        <w:t>【本案参考价值】</w:t>
      </w:r>
    </w:p>
    <w:p>
      <w:r>
        <w:rPr>
          <w:rFonts w:ascii="Microsoft YaHei" w:hAnsi="Microsoft YaHei" w:eastAsia="Microsoft YaHei"/>
          <w:b/>
          <w:color w:val="70AD47"/>
          <w:sz w:val="24"/>
        </w:rPr>
        <w:t>⭐⭐⭐⭐⭐ 极高</w:t>
      </w:r>
    </w:p>
    <w:p>
      <w:r>
        <w:t>该案例为最高人民法院二审判决，具有最高司法效力。判决明确认定：发包人擅自使用工程后，依据司法解释第十四条，</w:t>
      </w:r>
      <w:r>
        <w:rPr>
          <w:rFonts w:ascii="Microsoft YaHei" w:hAnsi="Microsoft YaHei" w:eastAsia="Microsoft YaHei"/>
          <w:b/>
          <w:sz w:val="24"/>
        </w:rPr>
        <w:t>应视为工程已经竣工验收</w:t>
      </w:r>
      <w:r>
        <w:t>，承包人有权请求支付工程款。与本案事实高度相似，可直接引用。</w:t>
      </w:r>
    </w:p>
    <w:p>
      <w:pPr>
        <w:pStyle w:val="Heading1"/>
      </w:pPr>
      <w:r>
        <w:t>四、我方观点法律分析</w:t>
      </w:r>
    </w:p>
    <w:p>
      <w:pPr>
        <w:pStyle w:val="Heading2"/>
      </w:pPr>
      <w:r>
        <w:t>观点一：特种设备监督检验报告即为验收合格</w:t>
      </w:r>
    </w:p>
    <w:p>
      <w:r>
        <w:rPr>
          <w:rFonts w:ascii="Microsoft YaHei" w:hAnsi="Microsoft YaHei" w:eastAsia="Microsoft YaHei"/>
          <w:b w:val="0"/>
          <w:color w:val="ED7D31"/>
          <w:sz w:val="24"/>
        </w:rPr>
        <w:t>成立度：⚠️ 70%（部分成立，需补充论证）</w:t>
      </w:r>
    </w:p>
    <w:p>
      <w:r>
        <w:rPr>
          <w:rFonts w:ascii="Microsoft YaHei" w:hAnsi="Microsoft YaHei" w:eastAsia="Microsoft YaHei"/>
          <w:b/>
          <w:sz w:val="24"/>
        </w:rPr>
        <w:t>分析：</w:t>
      </w:r>
      <w:r>
        <w:t>特种设备监督检验是法定强制性检验，但其与合同约定的"竣工验收"可能存在程序差异。建议论证：特种设备监督检验标准</w:t>
      </w:r>
      <w:r>
        <w:rPr>
          <w:rFonts w:ascii="Microsoft YaHei" w:hAnsi="Microsoft YaHei" w:eastAsia="Microsoft YaHei"/>
          <w:b/>
          <w:sz w:val="24"/>
        </w:rPr>
        <w:t>等同于或高于</w:t>
      </w:r>
      <w:r>
        <w:t>合同约定的竣工验收标准。</w:t>
      </w:r>
    </w:p>
    <w:p>
      <w:pPr>
        <w:pStyle w:val="Heading2"/>
      </w:pPr>
      <w:r>
        <w:t>观点二：电梯已投入使用应视为已竣工验收</w:t>
      </w:r>
    </w:p>
    <w:p>
      <w:r>
        <w:rPr>
          <w:rFonts w:ascii="Microsoft YaHei" w:hAnsi="Microsoft YaHei" w:eastAsia="Microsoft YaHei"/>
          <w:b/>
          <w:color w:val="00B050"/>
          <w:sz w:val="24"/>
        </w:rPr>
        <w:t>成立度：✅ 95%（完全成立）</w:t>
      </w:r>
    </w:p>
    <w:p>
      <w:r>
        <w:rPr>
          <w:rFonts w:ascii="Microsoft YaHei" w:hAnsi="Microsoft YaHei" w:eastAsia="Microsoft YaHei"/>
          <w:b/>
          <w:sz w:val="24"/>
        </w:rPr>
        <w:t>法律依据：</w:t>
      </w:r>
      <w:r>
        <w:rPr>
          <w:rFonts w:ascii="Microsoft YaHei" w:hAnsi="Microsoft YaHei" w:eastAsia="Microsoft YaHei"/>
          <w:b/>
          <w:sz w:val="24"/>
        </w:rPr>
        <w:t>《建设工程施工合同纠纷案件司法解释（一）》第十四条</w:t>
      </w:r>
    </w:p>
    <w:p>
      <w:r>
        <w:rPr>
          <w:rFonts w:ascii="Microsoft YaHei" w:hAnsi="Microsoft YaHei" w:eastAsia="Microsoft YaHei"/>
          <w:b/>
          <w:sz w:val="24"/>
        </w:rPr>
        <w:t>案例支持：</w:t>
      </w:r>
      <w:r>
        <w:t>（2021）最高法民终727号判决明确认定："工程已投入使用，可视为已经竣工验收"</w:t>
      </w:r>
    </w:p>
    <w:p>
      <w:r>
        <w:rPr>
          <w:rFonts w:ascii="Microsoft YaHei" w:hAnsi="Microsoft YaHei" w:eastAsia="Microsoft YaHei"/>
          <w:b/>
          <w:sz w:val="24"/>
        </w:rPr>
        <w:t>事实支撑：</w:t>
      </w:r>
      <w:r>
        <w:t>本案电梯已于2024年4月18日取得使用登记证，已投入使用，电梯及相关资料已移交。与（2021）最高法民终727号案例事实高度相似。</w:t>
      </w:r>
    </w:p>
    <w:p>
      <w:r>
        <w:rPr>
          <w:rFonts w:ascii="Microsoft YaHei" w:hAnsi="Microsoft YaHei" w:eastAsia="Microsoft YaHei"/>
          <w:b/>
          <w:sz w:val="24"/>
        </w:rPr>
        <w:t>【结论】</w:t>
      </w:r>
      <w:r>
        <w:t>这是</w:t>
      </w:r>
      <w:r>
        <w:rPr>
          <w:rFonts w:ascii="Microsoft YaHei" w:hAnsi="Microsoft YaHei" w:eastAsia="Microsoft YaHei"/>
          <w:b/>
          <w:sz w:val="24"/>
        </w:rPr>
        <w:t>最有力的上诉理由</w:t>
      </w:r>
      <w:r>
        <w:t>，有最高院判例直接支持。</w:t>
      </w:r>
    </w:p>
    <w:p>
      <w:pPr>
        <w:pStyle w:val="Heading1"/>
      </w:pPr>
      <w:r>
        <w:t>五、综合结论</w:t>
      </w:r>
    </w:p>
    <w:p>
      <w:pPr>
        <w:pStyle w:val="Heading2"/>
      </w:pPr>
      <w:r>
        <w:t>（一）胜诉评估</w:t>
      </w:r>
    </w:p>
    <w:p>
      <w:r>
        <w:rPr>
          <w:rFonts w:ascii="Microsoft YaHei" w:hAnsi="Microsoft YaHei" w:eastAsia="Microsoft YaHei"/>
          <w:b/>
          <w:sz w:val="28"/>
        </w:rPr>
        <w:t>结论：✅ 有较大概率改判</w:t>
      </w:r>
    </w:p>
    <w:p>
      <w:r>
        <w:rPr>
          <w:rFonts w:ascii="Microsoft YaHei" w:hAnsi="Microsoft YaHei" w:eastAsia="Microsoft YaHei"/>
          <w:b/>
          <w:sz w:val="24"/>
        </w:rPr>
        <w:t>核心理由：</w:t>
      </w:r>
      <w:r>
        <w:t>根据司法解释第十四条和（2021）最高法民终727号判例，被上诉人擅自使用电梯后，应当认定为已竣工验收，应支付剩余工程款。</w:t>
      </w:r>
    </w:p>
    <w:p>
      <w:pPr>
        <w:pStyle w:val="Heading2"/>
      </w:pPr>
      <w:r>
        <w:t>（二）上诉策略</w:t>
      </w:r>
    </w:p>
    <w:p>
      <w:r>
        <w:rPr>
          <w:rFonts w:ascii="Microsoft YaHei" w:hAnsi="Microsoft YaHei" w:eastAsia="Microsoft YaHei"/>
          <w:b/>
          <w:color w:val="0070C0"/>
          <w:sz w:val="24"/>
        </w:rPr>
        <w:t>主攻方向：以"擅自使用视为已竣工验收"为核心</w:t>
      </w:r>
    </w:p>
    <w:p>
      <w:r>
        <w:rPr>
          <w:rFonts w:ascii="Microsoft YaHei" w:hAnsi="Microsoft YaHei" w:eastAsia="Microsoft YaHei"/>
          <w:b/>
          <w:sz w:val="24"/>
        </w:rPr>
        <w:t>重点引用：</w:t>
      </w:r>
    </w:p>
    <w:p>
      <w:r>
        <w:t>1. 法律依据：《建设工程施工合同纠纷案件司法解释（一）》第十四条</w:t>
      </w:r>
    </w:p>
    <w:p>
      <w:r>
        <w:t>2. 最高院案例：（2021）最高法民终727号</w:t>
      </w:r>
    </w:p>
    <w:p>
      <w:r>
        <w:t xml:space="preserve">   • 裁判要旨："工程已投入使用，可视为已经竣工验收"</w:t>
      </w:r>
    </w:p>
    <w:p>
      <w:r>
        <w:t xml:space="preserve">   • 判决书链接：裁判文书网可查</w:t>
      </w:r>
    </w:p>
    <w:p>
      <w:r>
        <w:t>3. 本案事实：</w:t>
      </w:r>
    </w:p>
    <w:p>
      <w:r>
        <w:t xml:space="preserve">   • 2024-03-29 取得监督检验报告</w:t>
      </w:r>
    </w:p>
    <w:p>
      <w:r>
        <w:t xml:space="preserve">   • 2024-04-18 取得使用登记证</w:t>
      </w:r>
    </w:p>
    <w:p>
      <w:r>
        <w:t xml:space="preserve">   • 电梯已投入使用</w:t>
      </w:r>
    </w:p>
    <w:p>
      <w:r>
        <w:t xml:space="preserve">   • 电梯及相关资料已移交</w:t>
      </w:r>
    </w:p>
    <w:p>
      <w:pPr>
        <w:pStyle w:val="Heading2"/>
      </w:pPr>
      <w:r>
        <w:t>（三）风险提示</w:t>
      </w:r>
    </w:p>
    <w:p>
      <w:r>
        <w:rPr>
          <w:rFonts w:ascii="Microsoft YaHei" w:hAnsi="Microsoft YaHei" w:eastAsia="Microsoft YaHei"/>
          <w:b/>
          <w:sz w:val="24"/>
        </w:rPr>
        <w:t>1. 合同约定特殊验收程序：</w:t>
      </w:r>
      <w:r>
        <w:t>需强调特种设备监督检验是法定强制性检验，标准不低于合同约定</w:t>
      </w:r>
    </w:p>
    <w:p>
      <w:r>
        <w:rPr>
          <w:rFonts w:ascii="Microsoft YaHei" w:hAnsi="Microsoft YaHei" w:eastAsia="Microsoft YaHei"/>
          <w:b/>
          <w:sz w:val="24"/>
        </w:rPr>
        <w:t>2. 质保金问题：</w:t>
      </w:r>
      <w:r>
        <w:t>可区分工程款和质保金，质保金按合同约定处理</w:t>
      </w:r>
    </w:p>
    <w:p>
      <w:r>
        <w:rPr>
          <w:rFonts w:ascii="Microsoft YaHei" w:hAnsi="Microsoft YaHei" w:eastAsia="Microsoft YaHei"/>
          <w:b/>
          <w:sz w:val="24"/>
        </w:rPr>
        <w:t>3. 保修责任：</w:t>
      </w:r>
      <w:r>
        <w:t>擅自使用不免除保修期内的保修义务</w:t>
      </w:r>
    </w:p>
    <w:p/>
    <w:p>
      <w:pPr>
        <w:jc w:val="center"/>
      </w:pPr>
      <w:r>
        <w:rPr>
          <w:rFonts w:ascii="Microsoft YaHei" w:hAnsi="Microsoft YaHei" w:eastAsia="Microsoft YaHei"/>
          <w:b w:val="0"/>
          <w:color w:val="888888"/>
          <w:sz w:val="20"/>
        </w:rPr>
        <w:t>— 报告完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enshu.court.gov.cn/website/wenshu/181107ANFZ0BXSK4/index.html?docId=rnZKb0y5gfxGaZcCXrsal1edcySpA6JdHo6JO/dybRx+nT9GXSOg9WI3IS1ZgB82lBJPmwsyk5E3J30e0c5BcDS8CZsZemD/2vxTkUEuioL6gF3nqomFIBdx5gfobh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