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9782" w:type="dxa"/>
        <w:tblInd w:w="-85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8402"/>
      </w:tblGrid>
      <w:tr w14:paraId="08587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</w:tcPr>
          <w:p w14:paraId="687DAC7D">
            <w:pPr>
              <w:rPr>
                <w:rFonts w:ascii="Calibri" w:hAnsi="Calibri" w:eastAsia="SimSun"/>
                <w:b/>
              </w:rPr>
            </w:pPr>
            <w:r>
              <w:rPr>
                <w:rFonts w:ascii="Calibri" w:hAnsi="Calibri" w:eastAsia="SimSun"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02" w:type="dxa"/>
          </w:tcPr>
          <w:p w14:paraId="384F2614">
            <w:pPr>
              <w:spacing w:before="21" w:line="242" w:lineRule="auto"/>
              <w:ind w:left="20" w:right="18" w:firstLine="1"/>
              <w:jc w:val="center"/>
              <w:rPr>
                <w:lang w:val="ru-RU"/>
              </w:rPr>
            </w:pPr>
            <w:r>
              <w:rPr>
                <w:w w:val="105"/>
                <w:lang w:val="ru-RU"/>
              </w:rPr>
              <w:t xml:space="preserve">Министерство науки и высшего образования Российской Федерации </w:t>
            </w:r>
            <w:r>
              <w:rPr>
                <w:lang w:val="ru-RU"/>
              </w:rPr>
              <w:t>Федеральное государственное бюджетное образовательное учреждение</w:t>
            </w:r>
            <w:r>
              <w:rPr>
                <w:spacing w:val="80"/>
                <w:w w:val="105"/>
                <w:lang w:val="ru-RU"/>
              </w:rPr>
              <w:t xml:space="preserve"> </w:t>
            </w:r>
            <w:r>
              <w:rPr>
                <w:w w:val="105"/>
                <w:lang w:val="ru-RU"/>
              </w:rPr>
              <w:t>высшего образования</w:t>
            </w:r>
          </w:p>
          <w:p w14:paraId="4F74B1F8">
            <w:pPr>
              <w:spacing w:before="1" w:line="242" w:lineRule="auto"/>
              <w:ind w:left="469" w:right="508"/>
              <w:jc w:val="center"/>
              <w:rPr>
                <w:rFonts w:eastAsiaTheme="minorEastAsia"/>
                <w:spacing w:val="-2"/>
                <w:w w:val="105"/>
                <w:lang w:val="ru-RU"/>
              </w:rPr>
            </w:pPr>
            <w:r>
              <w:rPr>
                <w:spacing w:val="-2"/>
                <w:w w:val="105"/>
                <w:lang w:val="ru-RU"/>
              </w:rPr>
              <w:t>«Московский</w:t>
            </w:r>
            <w:r>
              <w:rPr>
                <w:spacing w:val="-13"/>
                <w:w w:val="105"/>
                <w:lang w:val="ru-RU"/>
              </w:rPr>
              <w:t xml:space="preserve"> </w:t>
            </w:r>
            <w:r>
              <w:rPr>
                <w:spacing w:val="-2"/>
                <w:w w:val="105"/>
                <w:lang w:val="ru-RU"/>
              </w:rPr>
              <w:t>государственный</w:t>
            </w:r>
            <w:r>
              <w:rPr>
                <w:spacing w:val="-13"/>
                <w:w w:val="105"/>
                <w:lang w:val="ru-RU"/>
              </w:rPr>
              <w:t xml:space="preserve"> </w:t>
            </w:r>
            <w:r>
              <w:rPr>
                <w:spacing w:val="-2"/>
                <w:w w:val="105"/>
                <w:lang w:val="ru-RU"/>
              </w:rPr>
              <w:t>технический</w:t>
            </w:r>
            <w:r>
              <w:rPr>
                <w:spacing w:val="-13"/>
                <w:w w:val="105"/>
                <w:lang w:val="ru-RU"/>
              </w:rPr>
              <w:t xml:space="preserve"> </w:t>
            </w:r>
            <w:r>
              <w:rPr>
                <w:spacing w:val="-2"/>
                <w:w w:val="105"/>
                <w:lang w:val="ru-RU"/>
              </w:rPr>
              <w:t xml:space="preserve">университет </w:t>
            </w:r>
          </w:p>
          <w:p w14:paraId="4ADC55BA">
            <w:pPr>
              <w:spacing w:before="1" w:line="242" w:lineRule="auto"/>
              <w:ind w:left="469" w:right="508"/>
              <w:jc w:val="center"/>
              <w:rPr>
                <w:lang w:val="ru-RU"/>
              </w:rPr>
            </w:pPr>
            <w:r>
              <w:rPr>
                <w:w w:val="105"/>
                <w:lang w:val="ru-RU"/>
              </w:rPr>
              <w:t>имени Н. Э. Баумана</w:t>
            </w:r>
          </w:p>
          <w:p w14:paraId="01D1AA39">
            <w:pPr>
              <w:spacing w:line="242" w:lineRule="auto"/>
              <w:ind w:left="840" w:right="815"/>
              <w:jc w:val="center"/>
              <w:rPr>
                <w:rFonts w:eastAsiaTheme="minorEastAsia"/>
                <w:spacing w:val="-2"/>
                <w:w w:val="105"/>
                <w:lang w:val="ru-RU"/>
              </w:rPr>
            </w:pPr>
            <w:r>
              <w:rPr>
                <w:spacing w:val="-2"/>
                <w:w w:val="105"/>
                <w:lang w:val="ru-RU"/>
              </w:rPr>
              <w:t xml:space="preserve">(национальный исследовательский университет)» </w:t>
            </w:r>
          </w:p>
          <w:p w14:paraId="637C0487">
            <w:pPr>
              <w:spacing w:line="242" w:lineRule="auto"/>
              <w:ind w:left="840" w:right="815"/>
              <w:jc w:val="center"/>
              <w:rPr>
                <w:lang w:val="ru-RU"/>
              </w:rPr>
            </w:pPr>
            <w:r>
              <w:rPr>
                <w:w w:val="105"/>
                <w:lang w:val="ru-RU"/>
              </w:rPr>
              <w:t>(МГТУ им. Н. Э. Баумана)</w:t>
            </w:r>
          </w:p>
          <w:p w14:paraId="27C69540">
            <w:pPr>
              <w:jc w:val="center"/>
              <w:rPr>
                <w:rFonts w:ascii="Calibri" w:hAnsi="Calibri" w:eastAsia="SimSun"/>
                <w:b/>
                <w:lang w:val="ru-RU"/>
              </w:rPr>
            </w:pPr>
            <w:r>
              <w:rPr>
                <w:sz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page">
                        <wp:posOffset>-735965</wp:posOffset>
                      </wp:positionH>
                      <wp:positionV relativeFrom="page">
                        <wp:posOffset>1572895</wp:posOffset>
                      </wp:positionV>
                      <wp:extent cx="6332855" cy="49530"/>
                      <wp:effectExtent l="0" t="0" r="0" b="0"/>
                      <wp:wrapNone/>
                      <wp:docPr id="712035966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32855" cy="49530"/>
                                <a:chOff x="0" y="0"/>
                                <a:chExt cx="6332855" cy="49530"/>
                              </a:xfrm>
                            </wpg:grpSpPr>
                            <wps:wsp>
                              <wps:cNvPr id="1104451412" name="Graphic 3"/>
                              <wps:cNvSpPr/>
                              <wps:spPr>
                                <a:xfrm>
                                  <a:off x="0" y="0"/>
                                  <a:ext cx="6332855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2855" h="33020">
                                      <a:moveTo>
                                        <a:pt x="633239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397"/>
                                      </a:lnTo>
                                      <a:lnTo>
                                        <a:pt x="6332397" y="32397"/>
                                      </a:lnTo>
                                      <a:lnTo>
                                        <a:pt x="63323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38715220" name="Graphic 4"/>
                              <wps:cNvSpPr/>
                              <wps:spPr>
                                <a:xfrm>
                                  <a:off x="0" y="45669"/>
                                  <a:ext cx="63328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2855">
                                      <a:moveTo>
                                        <a:pt x="0" y="0"/>
                                      </a:moveTo>
                                      <a:lnTo>
                                        <a:pt x="6332397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1026" o:spt="203" style="position:absolute;left:0pt;margin-left:-57.95pt;margin-top:123.85pt;height:3.9pt;width:498.65pt;mso-position-horizontal-relative:page;mso-position-vertical-relative:page;z-index:-251656192;mso-width-relative:page;mso-height-relative:page;" coordsize="6332855,49530" o:gfxdata="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rSKwRtwAAAAMAQAADwAAAAAAAAABACAAAAAiAAAAZHJz&#10;L2Rvd25yZXYueG1sUEsBAhQAFAAAAAgAh07iQH+66PrkAgAAxQgAAA4AAAAAAAAAAQAgAAAAKwEA&#10;AGRycy9lMm9Eb2MueG1sUEsFBgAAAAAGAAYAWQEAAIEGAAAAAA==&#10;">
                      <o:lock v:ext="edit" aspectratio="f"/>
                      <v:shape id="Graphic 3" o:spid="_x0000_s1026" o:spt="100" style="position:absolute;left:0;top:0;height:33020;width:6332855;" fillcolor="#000000" filled="t" stroked="f" coordsize="6332855,33020" o:gfxdata="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Qwon&#10;wAAAAOMAAAAPAAAAAAAAAAEAIAAAACIAAABkcnMvZG93bnJldi54bWxQSwECFAAUAAAACACHTuJA&#10;My8FnjsAAAA5AAAAEAAAAAAAAAABACAAAAAPAQAAZHJzL3NoYXBleG1sLnhtbFBLBQYAAAAABgAG&#10;AFsBAAC5AwAAAAA=&#10;" path="m6332397,0l0,0,0,32397,6332397,32397,6332397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4" o:spid="_x0000_s1026" o:spt="100" style="position:absolute;left:0;top:45669;height:1270;width:6332855;" filled="f" stroked="t" coordsize="6332855,1" o:gfxdata="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O6&#10;6xzCAAAA4gAAAA8AAAAAAAAAAQAgAAAAIgAAAGRycy9kb3ducmV2LnhtbFBLAQIUABQAAAAIAIdO&#10;4kAzLwWeOwAAADkAAAAQAAAAAAAAAAEAIAAAABEBAABkcnMvc2hhcGV4bWwueG1sUEsFBgAAAAAG&#10;AAYAWwEAALsDAAAAAA==&#10;" path="m0,0l6332397,0e">
                        <v:fill on="f" focussize="0,0"/>
                        <v:stroke weight="0.566929133858268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</w:tr>
    </w:tbl>
    <w:p w14:paraId="45379893">
      <w:pPr>
        <w:ind w:left="-708" w:leftChars="-295"/>
        <w:rPr>
          <w:rFonts w:ascii="Calibri" w:hAnsi="Calibri" w:eastAsia="SimSun"/>
          <w:lang w:val="ru-RU"/>
        </w:rPr>
      </w:pPr>
    </w:p>
    <w:tbl>
      <w:tblPr>
        <w:tblStyle w:val="17"/>
        <w:tblW w:w="10065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8307"/>
      </w:tblGrid>
      <w:tr w14:paraId="0516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0E525E9">
            <w:pPr>
              <w:ind w:right="89" w:rightChars="37"/>
              <w:rPr>
                <w:rFonts w:eastAsia="SimSun"/>
              </w:rPr>
            </w:pPr>
            <w:r>
              <w:rPr>
                <w:rFonts w:eastAsia="SimSun"/>
              </w:rPr>
              <w:t>ФАКУЛЬТЕТ</w:t>
            </w:r>
          </w:p>
        </w:tc>
        <w:tc>
          <w:tcPr>
            <w:tcW w:w="830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1EBFB56">
            <w:pPr>
              <w:jc w:val="center"/>
              <w:rPr>
                <w:rFonts w:eastAsia="SimSun"/>
                <w:lang w:val="ru-RU"/>
              </w:rPr>
            </w:pPr>
            <w:r>
              <w:rPr>
                <w:rFonts w:eastAsia="SimSun"/>
                <w:lang w:val="ru-RU"/>
              </w:rPr>
              <w:t>ИУ «Информатика, искусственный интеллект и системы управления»</w:t>
            </w:r>
          </w:p>
        </w:tc>
      </w:tr>
    </w:tbl>
    <w:p w14:paraId="39DA279E">
      <w:pPr>
        <w:ind w:leftChars="-295" w:hanging="708" w:hangingChars="295"/>
        <w:rPr>
          <w:rFonts w:eastAsia="SimSun"/>
          <w:iCs/>
          <w:lang w:val="ru-RU"/>
        </w:rPr>
      </w:pPr>
    </w:p>
    <w:tbl>
      <w:tblPr>
        <w:tblStyle w:val="17"/>
        <w:tblW w:w="10065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8366"/>
      </w:tblGrid>
      <w:tr w14:paraId="2885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14:paraId="012EB5C3">
            <w:pPr>
              <w:rPr>
                <w:rFonts w:eastAsia="SimSun"/>
                <w:i/>
              </w:rPr>
            </w:pPr>
            <w:r>
              <w:rPr>
                <w:rFonts w:eastAsia="SimSun"/>
              </w:rPr>
              <w:t>КАФЕДРА</w:t>
            </w:r>
          </w:p>
        </w:tc>
        <w:tc>
          <w:tcPr>
            <w:tcW w:w="836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7FFB9C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ИУ-1 «Системы автоматического управления»</w:t>
            </w:r>
          </w:p>
        </w:tc>
      </w:tr>
    </w:tbl>
    <w:p w14:paraId="36A023DD">
      <w:pPr>
        <w:ind w:left="-1" w:leftChars="-295" w:hanging="707" w:hangingChars="221"/>
        <w:rPr>
          <w:rFonts w:ascii="Calibri" w:hAnsi="Calibri" w:eastAsia="SimSun"/>
          <w:i/>
          <w:sz w:val="32"/>
        </w:rPr>
      </w:pPr>
    </w:p>
    <w:p w14:paraId="388C93ED">
      <w:pPr>
        <w:ind w:left="-1" w:leftChars="-295" w:hanging="707" w:hangingChars="221"/>
        <w:rPr>
          <w:rFonts w:ascii="Calibri" w:hAnsi="Calibri" w:eastAsia="SimSun"/>
          <w:i/>
          <w:sz w:val="32"/>
        </w:rPr>
      </w:pPr>
    </w:p>
    <w:p w14:paraId="0413BF3F">
      <w:pPr>
        <w:ind w:left="38" w:leftChars="-119" w:right="-766" w:rightChars="-319" w:hanging="324" w:hangingChars="101"/>
        <w:jc w:val="center"/>
        <w:rPr>
          <w:rFonts w:eastAsia="SimSun"/>
          <w:b/>
          <w:sz w:val="32"/>
          <w:szCs w:val="32"/>
          <w:lang w:val="ru-RU"/>
        </w:rPr>
      </w:pPr>
      <w:r>
        <w:rPr>
          <w:rFonts w:eastAsia="SimSun"/>
          <w:b/>
          <w:sz w:val="32"/>
          <w:szCs w:val="32"/>
          <w:lang w:val="ru-RU"/>
        </w:rPr>
        <w:t>ОТЧЕТ</w:t>
      </w:r>
    </w:p>
    <w:p w14:paraId="01001FDF">
      <w:pPr>
        <w:ind w:left="-63" w:leftChars="-119" w:right="-766" w:rightChars="-319" w:hanging="223" w:hangingChars="101"/>
        <w:jc w:val="center"/>
        <w:rPr>
          <w:rFonts w:eastAsia="SimSun"/>
          <w:b/>
          <w:bCs/>
          <w:sz w:val="22"/>
          <w:szCs w:val="22"/>
          <w:lang w:val="ru-RU"/>
        </w:rPr>
      </w:pPr>
    </w:p>
    <w:p w14:paraId="049C86B1">
      <w:pPr>
        <w:ind w:left="-3" w:leftChars="-119" w:right="-766" w:rightChars="-319" w:hanging="283" w:hangingChars="101"/>
        <w:jc w:val="center"/>
        <w:rPr>
          <w:b/>
          <w:bCs/>
          <w:color w:val="auto"/>
          <w:kern w:val="0"/>
          <w:sz w:val="28"/>
          <w:szCs w:val="28"/>
          <w:lang w:val="ru-RU" w:eastAsia="zh-CN"/>
        </w:rPr>
      </w:pPr>
      <w:r>
        <w:rPr>
          <w:b/>
          <w:bCs/>
          <w:color w:val="auto"/>
          <w:kern w:val="0"/>
          <w:sz w:val="28"/>
          <w:szCs w:val="28"/>
          <w:lang w:val="ru-RU"/>
        </w:rPr>
        <w:t>по лабораторной работе №</w:t>
      </w:r>
      <w:r>
        <w:rPr>
          <w:rFonts w:hint="eastAsia"/>
          <w:b/>
          <w:bCs/>
          <w:color w:val="auto"/>
          <w:kern w:val="0"/>
          <w:sz w:val="28"/>
          <w:szCs w:val="28"/>
          <w:lang w:val="ru-RU" w:eastAsia="zh-CN"/>
        </w:rPr>
        <w:t>.1</w:t>
      </w:r>
      <w:bookmarkStart w:id="1" w:name="_GoBack"/>
      <w:bookmarkEnd w:id="1"/>
    </w:p>
    <w:p w14:paraId="388437F9">
      <w:pPr>
        <w:pStyle w:val="11"/>
        <w:spacing w:line="100" w:lineRule="atLeast"/>
        <w:ind w:left="-44" w:leftChars="-119" w:right="-766" w:rightChars="-319" w:hanging="242" w:hangingChars="101"/>
        <w:jc w:val="center"/>
        <w:rPr>
          <w:rFonts w:eastAsia="SimSun"/>
          <w:sz w:val="24"/>
          <w:szCs w:val="24"/>
          <w:lang w:eastAsia="zh-CN"/>
        </w:rPr>
      </w:pPr>
    </w:p>
    <w:p w14:paraId="750DAA60">
      <w:pPr>
        <w:pStyle w:val="11"/>
        <w:spacing w:line="100" w:lineRule="atLeast"/>
        <w:ind w:left="-43" w:leftChars="-119" w:right="-766" w:rightChars="-319" w:hanging="243" w:hangingChars="101"/>
        <w:jc w:val="center"/>
        <w:rPr>
          <w:rFonts w:eastAsia="SimSun"/>
          <w:sz w:val="24"/>
          <w:szCs w:val="24"/>
          <w:u w:val="single"/>
          <w:lang w:eastAsia="zh-CN"/>
        </w:rPr>
      </w:pPr>
      <w:r>
        <w:rPr>
          <w:rFonts w:eastAsia="SimSun"/>
          <w:b/>
          <w:bCs/>
          <w:sz w:val="24"/>
          <w:szCs w:val="24"/>
          <w:lang w:eastAsia="zh-CN"/>
        </w:rPr>
        <w:t>Дисциплина:</w:t>
      </w:r>
      <w:r>
        <w:rPr>
          <w:rFonts w:eastAsia="SimSun"/>
          <w:sz w:val="24"/>
          <w:szCs w:val="24"/>
          <w:lang w:eastAsia="zh-CN"/>
        </w:rPr>
        <w:t xml:space="preserve"> </w:t>
      </w:r>
      <w:r>
        <w:rPr>
          <w:rFonts w:eastAsia="SimSun"/>
          <w:sz w:val="24"/>
          <w:szCs w:val="24"/>
          <w:u w:val="single"/>
          <w:lang w:eastAsia="zh-CN"/>
        </w:rPr>
        <w:t>Эргатические системы</w:t>
      </w:r>
    </w:p>
    <w:p w14:paraId="284E17D1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56F478FA">
      <w:pPr>
        <w:ind w:left="64" w:leftChars="-295" w:hanging="772" w:hangingChars="322"/>
        <w:rPr>
          <w:rFonts w:ascii="Calibri" w:hAnsi="Calibri" w:eastAsia="SimSun"/>
          <w:lang w:val="ru-RU"/>
        </w:rPr>
      </w:pPr>
      <w:bookmarkStart w:id="0" w:name="_Hlk529132148"/>
    </w:p>
    <w:p w14:paraId="7BD1F6AB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40F0F4E2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76EF5831">
      <w:pPr>
        <w:ind w:left="64" w:leftChars="-295" w:right="367" w:rightChars="153" w:hanging="772" w:hangingChars="322"/>
        <w:rPr>
          <w:rFonts w:ascii="Calibri" w:hAnsi="Calibri" w:eastAsia="SimSun"/>
          <w:lang w:val="ru-RU"/>
        </w:rPr>
      </w:pPr>
    </w:p>
    <w:p w14:paraId="571744B0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32B2FB91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1769A52C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4AF24500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4B4DFDCC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0A0E4B10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tbl>
      <w:tblPr>
        <w:tblStyle w:val="17"/>
        <w:tblW w:w="6059" w:type="pct"/>
        <w:tblInd w:w="-85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2037"/>
        <w:gridCol w:w="1309"/>
        <w:gridCol w:w="2036"/>
        <w:gridCol w:w="436"/>
        <w:gridCol w:w="3056"/>
      </w:tblGrid>
      <w:tr w14:paraId="4E5B2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1625105">
            <w:pPr>
              <w:rPr>
                <w:rFonts w:eastAsia="SimSun"/>
                <w:lang w:val="ru-RU"/>
              </w:rPr>
            </w:pPr>
          </w:p>
          <w:p w14:paraId="13CB0D1A">
            <w:pPr>
              <w:rPr>
                <w:rFonts w:eastAsia="SimSun"/>
              </w:rPr>
            </w:pPr>
            <w:r>
              <w:rPr>
                <w:rFonts w:eastAsia="SimSun"/>
              </w:rPr>
              <w:t>Студент</w:t>
            </w:r>
          </w:p>
        </w:tc>
        <w:tc>
          <w:tcPr>
            <w:tcW w:w="1985" w:type="dxa"/>
            <w:tcBorders>
              <w:bottom w:val="single" w:color="auto" w:sz="4" w:space="0"/>
            </w:tcBorders>
          </w:tcPr>
          <w:p w14:paraId="6FC26194">
            <w:pPr>
              <w:rPr>
                <w:rFonts w:eastAsia="SimSun"/>
              </w:rPr>
            </w:pPr>
          </w:p>
          <w:p w14:paraId="0F266161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ИУ1И-</w:t>
            </w:r>
            <w:r>
              <w:rPr>
                <w:rFonts w:hint="eastAsia" w:eastAsia="SimSun"/>
              </w:rPr>
              <w:t>4</w:t>
            </w:r>
            <w:r>
              <w:rPr>
                <w:rFonts w:eastAsia="SimSun"/>
                <w:lang w:val="ru-RU"/>
              </w:rPr>
              <w:t>1</w:t>
            </w:r>
            <w:r>
              <w:rPr>
                <w:rFonts w:eastAsia="SimSun"/>
              </w:rPr>
              <w:t>М</w:t>
            </w:r>
          </w:p>
        </w:tc>
        <w:tc>
          <w:tcPr>
            <w:tcW w:w="1276" w:type="dxa"/>
          </w:tcPr>
          <w:p w14:paraId="4E728E65">
            <w:pPr>
              <w:rPr>
                <w:rFonts w:eastAsia="SimSun"/>
              </w:rPr>
            </w:pPr>
          </w:p>
        </w:tc>
        <w:tc>
          <w:tcPr>
            <w:tcW w:w="1984" w:type="dxa"/>
            <w:tcBorders>
              <w:bottom w:val="single" w:color="auto" w:sz="8" w:space="0"/>
            </w:tcBorders>
            <w:vAlign w:val="bottom"/>
          </w:tcPr>
          <w:p w14:paraId="1BCD8F76">
            <w:pPr>
              <w:jc w:val="right"/>
              <w:rPr>
                <w:rFonts w:eastAsia="SimSun"/>
                <w:lang w:val="ru-RU"/>
              </w:rPr>
            </w:pPr>
            <w:r>
              <w:rPr>
                <w:rFonts w:hint="eastAsia" w:eastAsia="SimSun"/>
                <w:sz w:val="20"/>
              </w:rPr>
              <w:t>31</w:t>
            </w:r>
            <w:r>
              <w:rPr>
                <w:rFonts w:eastAsia="SimSun"/>
                <w:sz w:val="20"/>
              </w:rPr>
              <w:t xml:space="preserve"> /  </w:t>
            </w:r>
            <w:r>
              <w:rPr>
                <w:rFonts w:hint="eastAsia" w:eastAsia="SimSun"/>
                <w:sz w:val="20"/>
              </w:rPr>
              <w:t>03</w:t>
            </w:r>
            <w:r>
              <w:rPr>
                <w:rFonts w:eastAsia="SimSun"/>
                <w:sz w:val="20"/>
              </w:rPr>
              <w:t xml:space="preserve">  /202</w:t>
            </w:r>
            <w:r>
              <w:rPr>
                <w:rFonts w:hint="eastAsia" w:eastAsia="SimSun"/>
                <w:sz w:val="20"/>
              </w:rPr>
              <w:t>6</w:t>
            </w:r>
          </w:p>
        </w:tc>
        <w:tc>
          <w:tcPr>
            <w:tcW w:w="425" w:type="dxa"/>
          </w:tcPr>
          <w:p w14:paraId="38056262">
            <w:pPr>
              <w:rPr>
                <w:rFonts w:eastAsia="SimSun"/>
              </w:rPr>
            </w:pPr>
          </w:p>
        </w:tc>
        <w:tc>
          <w:tcPr>
            <w:tcW w:w="2978" w:type="dxa"/>
            <w:tcBorders>
              <w:bottom w:val="single" w:color="auto" w:sz="8" w:space="0"/>
            </w:tcBorders>
          </w:tcPr>
          <w:p w14:paraId="419C0C23">
            <w:pPr>
              <w:jc w:val="center"/>
              <w:rPr>
                <w:rFonts w:eastAsia="SimSun"/>
                <w:lang w:val="ru-RU"/>
              </w:rPr>
            </w:pPr>
          </w:p>
          <w:p w14:paraId="1A8A7FF2">
            <w:pPr>
              <w:jc w:val="center"/>
              <w:rPr>
                <w:rFonts w:eastAsia="SimSun"/>
                <w:lang w:val="ru-RU"/>
              </w:rPr>
            </w:pPr>
            <w:r>
              <w:rPr>
                <w:rFonts w:eastAsia="SimSun"/>
                <w:lang w:val="ru-RU"/>
              </w:rPr>
              <w:t>Чжан Хаотянь</w:t>
            </w:r>
          </w:p>
        </w:tc>
      </w:tr>
      <w:tr w14:paraId="1FFC5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A57C5C0">
            <w:pPr>
              <w:rPr>
                <w:rFonts w:eastAsia="SimSun"/>
                <w:lang w:val="ru-RU"/>
              </w:rPr>
            </w:pPr>
          </w:p>
        </w:tc>
        <w:tc>
          <w:tcPr>
            <w:tcW w:w="1985" w:type="dxa"/>
            <w:tcBorders>
              <w:top w:val="single" w:color="auto" w:sz="4" w:space="0"/>
            </w:tcBorders>
          </w:tcPr>
          <w:p w14:paraId="344A1132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(Группа)</w:t>
            </w:r>
          </w:p>
        </w:tc>
        <w:tc>
          <w:tcPr>
            <w:tcW w:w="1276" w:type="dxa"/>
          </w:tcPr>
          <w:p w14:paraId="188278B8">
            <w:pPr>
              <w:rPr>
                <w:rFonts w:eastAsia="SimSun"/>
                <w:sz w:val="16"/>
              </w:rPr>
            </w:pPr>
          </w:p>
        </w:tc>
        <w:tc>
          <w:tcPr>
            <w:tcW w:w="1984" w:type="dxa"/>
            <w:tcBorders>
              <w:top w:val="single" w:color="auto" w:sz="8" w:space="0"/>
            </w:tcBorders>
          </w:tcPr>
          <w:p w14:paraId="605DDE3E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(Подпись, дата)</w:t>
            </w:r>
          </w:p>
        </w:tc>
        <w:tc>
          <w:tcPr>
            <w:tcW w:w="425" w:type="dxa"/>
          </w:tcPr>
          <w:p w14:paraId="0C23E198">
            <w:pPr>
              <w:rPr>
                <w:rFonts w:eastAsia="SimSun"/>
                <w:sz w:val="16"/>
              </w:rPr>
            </w:pPr>
          </w:p>
        </w:tc>
        <w:tc>
          <w:tcPr>
            <w:tcW w:w="2978" w:type="dxa"/>
            <w:tcBorders>
              <w:top w:val="single" w:color="auto" w:sz="8" w:space="0"/>
            </w:tcBorders>
          </w:tcPr>
          <w:p w14:paraId="57923B5D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(И.О. Фамилия)</w:t>
            </w:r>
          </w:p>
        </w:tc>
      </w:tr>
    </w:tbl>
    <w:p w14:paraId="2E08F647">
      <w:pPr>
        <w:rPr>
          <w:rFonts w:eastAsia="SimSun"/>
        </w:rPr>
      </w:pPr>
    </w:p>
    <w:tbl>
      <w:tblPr>
        <w:tblStyle w:val="17"/>
        <w:tblW w:w="6059" w:type="pct"/>
        <w:tblInd w:w="-85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9"/>
        <w:gridCol w:w="2036"/>
        <w:gridCol w:w="436"/>
        <w:gridCol w:w="3056"/>
      </w:tblGrid>
      <w:tr w14:paraId="611EC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</w:tcPr>
          <w:p w14:paraId="28DCBC04">
            <w:pPr>
              <w:rPr>
                <w:rFonts w:eastAsia="SimSun"/>
              </w:rPr>
            </w:pPr>
            <w:r>
              <w:rPr>
                <w:rFonts w:eastAsia="SimSun"/>
              </w:rPr>
              <w:t>Преподаватель</w:t>
            </w:r>
          </w:p>
        </w:tc>
        <w:tc>
          <w:tcPr>
            <w:tcW w:w="1984" w:type="dxa"/>
            <w:tcBorders>
              <w:bottom w:val="single" w:color="auto" w:sz="8" w:space="0"/>
            </w:tcBorders>
            <w:vAlign w:val="bottom"/>
          </w:tcPr>
          <w:p w14:paraId="37259E1A">
            <w:pPr>
              <w:jc w:val="right"/>
              <w:rPr>
                <w:rFonts w:eastAsia="SimSun"/>
                <w:lang w:val="ru-RU"/>
              </w:rPr>
            </w:pPr>
            <w:r>
              <w:rPr>
                <w:rFonts w:eastAsia="SimSun"/>
                <w:sz w:val="20"/>
              </w:rPr>
              <w:t xml:space="preserve"> /       /202</w:t>
            </w:r>
            <w:r>
              <w:rPr>
                <w:rFonts w:hint="eastAsia" w:eastAsia="SimSun"/>
                <w:sz w:val="20"/>
              </w:rPr>
              <w:t>6</w:t>
            </w:r>
          </w:p>
        </w:tc>
        <w:tc>
          <w:tcPr>
            <w:tcW w:w="425" w:type="dxa"/>
          </w:tcPr>
          <w:p w14:paraId="392F0B36">
            <w:pPr>
              <w:rPr>
                <w:rFonts w:eastAsia="SimSun"/>
              </w:rPr>
            </w:pPr>
          </w:p>
        </w:tc>
        <w:tc>
          <w:tcPr>
            <w:tcW w:w="2978" w:type="dxa"/>
            <w:tcBorders>
              <w:bottom w:val="single" w:color="auto" w:sz="8" w:space="0"/>
            </w:tcBorders>
          </w:tcPr>
          <w:p w14:paraId="5CCDE032">
            <w:pPr>
              <w:jc w:val="center"/>
              <w:rPr>
                <w:rFonts w:eastAsia="SimSun"/>
                <w:lang w:val="ru-RU"/>
              </w:rPr>
            </w:pPr>
            <w:r>
              <w:rPr>
                <w:rFonts w:eastAsia="SimSun"/>
                <w:lang w:val="ru-RU"/>
              </w:rPr>
              <w:t>Кучин А. С.</w:t>
            </w:r>
          </w:p>
        </w:tc>
      </w:tr>
      <w:tr w14:paraId="51C9F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8" w:type="dxa"/>
          </w:tcPr>
          <w:p w14:paraId="74A7F776">
            <w:pPr>
              <w:rPr>
                <w:rFonts w:eastAsia="SimSun"/>
                <w:lang w:val="ru-RU"/>
              </w:rPr>
            </w:pPr>
          </w:p>
        </w:tc>
        <w:tc>
          <w:tcPr>
            <w:tcW w:w="1984" w:type="dxa"/>
            <w:tcBorders>
              <w:top w:val="single" w:color="auto" w:sz="8" w:space="0"/>
            </w:tcBorders>
          </w:tcPr>
          <w:p w14:paraId="6ACD59E2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(Подпись, дата)</w:t>
            </w:r>
          </w:p>
        </w:tc>
        <w:tc>
          <w:tcPr>
            <w:tcW w:w="425" w:type="dxa"/>
          </w:tcPr>
          <w:p w14:paraId="62FE2238">
            <w:pPr>
              <w:rPr>
                <w:rFonts w:eastAsia="SimSun"/>
                <w:sz w:val="16"/>
              </w:rPr>
            </w:pPr>
          </w:p>
        </w:tc>
        <w:tc>
          <w:tcPr>
            <w:tcW w:w="2978" w:type="dxa"/>
            <w:tcBorders>
              <w:top w:val="single" w:color="auto" w:sz="8" w:space="0"/>
            </w:tcBorders>
          </w:tcPr>
          <w:p w14:paraId="4A73A692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(И.О. Фамилия)</w:t>
            </w:r>
          </w:p>
        </w:tc>
      </w:tr>
      <w:bookmarkEnd w:id="0"/>
    </w:tbl>
    <w:p w14:paraId="4CD227C8">
      <w:pPr>
        <w:widowControl/>
        <w:jc w:val="left"/>
        <w:rPr>
          <w:rFonts w:ascii="Calibri" w:hAnsi="Calibri" w:eastAsia="SimSun"/>
          <w:i/>
          <w:sz w:val="28"/>
          <w:lang w:val="ru-RU"/>
        </w:rPr>
      </w:pPr>
    </w:p>
    <w:p w14:paraId="354D1373">
      <w:pPr>
        <w:pStyle w:val="2"/>
        <w:jc w:val="center"/>
        <w:rPr>
          <w:lang w:val="ru-RU"/>
        </w:rPr>
      </w:pPr>
      <w:r>
        <w:rPr>
          <w:rFonts w:eastAsiaTheme="majorEastAsia"/>
          <w:lang w:val="ru-RU"/>
        </w:rPr>
        <w:t>1. Цель работы</w:t>
      </w:r>
    </w:p>
    <w:p w14:paraId="2CDA9A1C">
      <w:pPr>
        <w:widowControl/>
        <w:spacing w:line="360" w:lineRule="auto"/>
        <w:ind w:firstLine="240" w:firstLineChars="100"/>
        <w:jc w:val="both"/>
        <w:rPr>
          <w:rFonts w:eastAsiaTheme="minorEastAsia"/>
          <w:lang w:val="ru-RU"/>
        </w:rPr>
      </w:pPr>
      <w:r>
        <w:rPr>
          <w:rFonts w:hint="default" w:eastAsiaTheme="minorEastAsia"/>
          <w:lang w:val="ru-RU" w:eastAsia="zh-CN"/>
        </w:rPr>
        <w:t>Освоить базовые понятия машинного обучения и настроить полноценный</w:t>
      </w:r>
      <w:r>
        <w:rPr>
          <w:rFonts w:hint="eastAsia" w:eastAsiaTheme="minorEastAsia"/>
          <w:lang w:val="en-US" w:eastAsia="zh-CN"/>
        </w:rPr>
        <w:t xml:space="preserve"> </w:t>
      </w:r>
      <w:r>
        <w:rPr>
          <w:rFonts w:hint="default" w:eastAsiaTheme="minorEastAsia"/>
          <w:lang w:val="ru-RU" w:eastAsia="zh-CN"/>
        </w:rPr>
        <w:t>пайплайн работы с Git. Ключевые навыки— это генерация случайной</w:t>
      </w:r>
      <w:r>
        <w:rPr>
          <w:rFonts w:hint="eastAsia" w:eastAsiaTheme="minorEastAsia"/>
          <w:lang w:val="en-US" w:eastAsia="zh-CN"/>
        </w:rPr>
        <w:t xml:space="preserve"> </w:t>
      </w:r>
      <w:r>
        <w:rPr>
          <w:rFonts w:hint="default" w:eastAsiaTheme="minorEastAsia"/>
          <w:lang w:val="ru-RU" w:eastAsia="zh-CN"/>
        </w:rPr>
        <w:t>выборки и борьба с переобучением с помощью регуляризации и других методов, что позволяет на практике повысить обобщающую способность модели и</w:t>
      </w:r>
      <w:r>
        <w:rPr>
          <w:rFonts w:hint="eastAsia" w:eastAsiaTheme="minorEastAsia"/>
          <w:lang w:val="en-US" w:eastAsia="zh-CN"/>
        </w:rPr>
        <w:t xml:space="preserve"> </w:t>
      </w:r>
      <w:r>
        <w:rPr>
          <w:rFonts w:hint="default" w:eastAsiaTheme="minorEastAsia"/>
          <w:lang w:val="ru-RU" w:eastAsia="zh-CN"/>
        </w:rPr>
        <w:t>эффективность управления версиями.</w:t>
      </w:r>
    </w:p>
    <w:p w14:paraId="02DDCEA5">
      <w:pPr>
        <w:widowControl/>
        <w:spacing w:line="360" w:lineRule="auto"/>
        <w:ind w:left="240" w:leftChars="100" w:firstLine="0" w:firstLineChars="0"/>
        <w:rPr>
          <w:rFonts w:hint="eastAsia" w:eastAsiaTheme="minorEastAsia"/>
          <w:lang w:val="ru-RU"/>
        </w:rPr>
      </w:pPr>
      <w:r>
        <w:rPr>
          <w:rFonts w:eastAsiaTheme="minorEastAsia"/>
          <w:lang w:val="ru-RU"/>
        </w:rPr>
        <w:t>Ссылка на репозиторий Git:</w:t>
      </w:r>
      <w:r>
        <w:rPr>
          <w:rFonts w:hint="eastAsia" w:eastAsiaTheme="minorEastAsia"/>
          <w:lang w:val="ru-RU"/>
        </w:rPr>
        <w:t xml:space="preserve"> </w:t>
      </w:r>
    </w:p>
    <w:p w14:paraId="70BE9DDE">
      <w:pPr>
        <w:widowControl/>
        <w:spacing w:line="360" w:lineRule="auto"/>
        <w:ind w:left="240" w:leftChars="100" w:firstLine="0" w:firstLineChars="0"/>
        <w:rPr>
          <w:rFonts w:eastAsiaTheme="minorEastAsia"/>
          <w:lang w:val="ru-RU"/>
        </w:rPr>
      </w:pPr>
      <w:r>
        <w:rPr>
          <w:rFonts w:hint="eastAsia" w:eastAsiaTheme="minorEastAsia"/>
          <w:lang w:val="ru-RU"/>
        </w:rPr>
        <w:t>https://github.com/youbadbad2agt/Haotian-Zhang/tree/Machinelearing</w:t>
      </w:r>
    </w:p>
    <w:p w14:paraId="59C68A8D">
      <w:pPr>
        <w:pStyle w:val="2"/>
        <w:jc w:val="center"/>
        <w:rPr>
          <w:rFonts w:eastAsiaTheme="majorEastAsia"/>
          <w:lang w:val="ru-RU"/>
        </w:rPr>
      </w:pPr>
      <w:r>
        <w:rPr>
          <w:rFonts w:eastAsiaTheme="majorEastAsia"/>
          <w:lang w:val="ru-RU"/>
        </w:rPr>
        <w:t>2. Теоретическая подготовка</w:t>
      </w:r>
    </w:p>
    <w:p w14:paraId="2F546107">
      <w:pPr>
        <w:pStyle w:val="35"/>
        <w:numPr>
          <w:ilvl w:val="0"/>
          <w:numId w:val="1"/>
        </w:numPr>
        <w:spacing w:line="360" w:lineRule="auto"/>
        <w:ind w:left="284" w:hanging="141"/>
        <w:rPr>
          <w:rFonts w:eastAsiaTheme="minorEastAsia"/>
          <w:b/>
          <w:bCs/>
          <w:lang w:val="ru-RU"/>
        </w:rPr>
      </w:pPr>
      <w:r>
        <w:rPr>
          <w:rFonts w:eastAsiaTheme="minorEastAsia"/>
          <w:b/>
          <w:bCs/>
          <w:lang w:val="ru-RU"/>
        </w:rPr>
        <w:t>В чём заключается основная проблема переобучения?</w:t>
      </w:r>
    </w:p>
    <w:p w14:paraId="75942016">
      <w:pPr>
        <w:widowControl/>
        <w:spacing w:line="360" w:lineRule="auto"/>
        <w:ind w:firstLine="240" w:firstLineChars="100"/>
        <w:jc w:val="both"/>
        <w:rPr>
          <w:rFonts w:hint="default" w:eastAsiaTheme="minorEastAsia"/>
          <w:lang w:val="ru-RU" w:eastAsia="zh-CN"/>
        </w:rPr>
      </w:pPr>
      <w:r>
        <w:rPr>
          <w:rFonts w:hint="default" w:ascii="Times New Roman" w:hAnsi="Times New Roman" w:cs="Times New Roman"/>
        </w:rPr>
        <w:t>О</w:t>
      </w:r>
      <w:r>
        <w:rPr>
          <w:rFonts w:hint="default" w:eastAsiaTheme="minorEastAsia"/>
          <w:lang w:val="ru-RU" w:eastAsia="zh-CN"/>
        </w:rPr>
        <w:t>сновная проблема переобучения (overfitting) заключается в потере способности к обобщению (generalization).</w:t>
      </w:r>
    </w:p>
    <w:p w14:paraId="67088B09">
      <w:pPr>
        <w:widowControl/>
        <w:spacing w:line="360" w:lineRule="auto"/>
        <w:ind w:firstLine="240" w:firstLineChars="100"/>
        <w:jc w:val="both"/>
        <w:rPr>
          <w:rFonts w:hint="default" w:eastAsiaTheme="minorEastAsia"/>
          <w:lang w:val="ru-RU" w:eastAsia="zh-CN"/>
        </w:rPr>
      </w:pPr>
      <w:r>
        <w:rPr>
          <w:rFonts w:hint="default" w:eastAsiaTheme="minorEastAsia"/>
          <w:lang w:val="ru-RU" w:eastAsia="zh-CN"/>
        </w:rPr>
        <w:t>Если говорить просто, модель перестает искать общие закономерности в данных и начинает банально заучивать обучающую выборку наизусть, включая весь присутствующий в ней случайный шум, ошибки и аномалии.</w:t>
      </w:r>
    </w:p>
    <w:p w14:paraId="5D9B85CD">
      <w:pPr>
        <w:widowControl/>
        <w:spacing w:line="360" w:lineRule="auto"/>
        <w:ind w:firstLine="240" w:firstLineChars="100"/>
        <w:jc w:val="both"/>
        <w:rPr>
          <w:rFonts w:hint="default" w:eastAsiaTheme="minorEastAsia"/>
          <w:lang w:val="ru-RU" w:eastAsia="zh-CN"/>
        </w:rPr>
      </w:pPr>
      <w:r>
        <w:rPr>
          <w:rFonts w:hint="default" w:eastAsiaTheme="minorEastAsia"/>
          <w:lang w:val="ru-RU" w:eastAsia="zh-CN"/>
        </w:rPr>
        <w:t>На практике это приводит к двум критическим последствиям:</w:t>
      </w:r>
    </w:p>
    <w:p w14:paraId="1A5631E7">
      <w:pPr>
        <w:widowControl/>
        <w:spacing w:line="360" w:lineRule="auto"/>
        <w:ind w:firstLine="240" w:firstLineChars="100"/>
        <w:jc w:val="both"/>
        <w:rPr>
          <w:rFonts w:hint="default" w:eastAsiaTheme="minorEastAsia"/>
          <w:lang w:val="ru-RU" w:eastAsia="zh-CN"/>
        </w:rPr>
      </w:pPr>
      <w:r>
        <w:rPr>
          <w:rFonts w:hint="default" w:eastAsiaTheme="minorEastAsia"/>
          <w:b/>
          <w:bCs/>
          <w:lang w:val="ru-RU" w:eastAsia="zh-CN"/>
        </w:rPr>
        <w:t>Иллюзия успеха при обучении:</w:t>
      </w:r>
      <w:r>
        <w:rPr>
          <w:rFonts w:hint="default" w:eastAsiaTheme="minorEastAsia"/>
          <w:lang w:val="ru-RU" w:eastAsia="zh-CN"/>
        </w:rPr>
        <w:t xml:space="preserve"> На тех данных, на которых модель тренировалась, она показывает идеальные результаты (ошибка стремится к нулю, точность близка к 100%).</w:t>
      </w:r>
    </w:p>
    <w:p w14:paraId="09A8823F">
      <w:pPr>
        <w:widowControl/>
        <w:spacing w:line="360" w:lineRule="auto"/>
        <w:ind w:firstLine="240" w:firstLineChars="100"/>
        <w:jc w:val="both"/>
        <w:rPr>
          <w:rFonts w:hint="default" w:eastAsiaTheme="minorEastAsia"/>
          <w:lang w:val="ru-RU" w:eastAsia="zh-CN"/>
        </w:rPr>
      </w:pPr>
      <w:r>
        <w:rPr>
          <w:rFonts w:hint="default" w:eastAsiaTheme="minorEastAsia"/>
          <w:b/>
          <w:bCs/>
          <w:lang w:val="ru-RU" w:eastAsia="zh-CN"/>
        </w:rPr>
        <w:t>Полный провал в реальности:</w:t>
      </w:r>
      <w:r>
        <w:rPr>
          <w:rFonts w:hint="default" w:eastAsiaTheme="minorEastAsia"/>
          <w:lang w:val="ru-RU" w:eastAsia="zh-CN"/>
        </w:rPr>
        <w:t xml:space="preserve"> Как только модель сталкивается с новыми, ранее невидимыми данными (в тестовой выборке или при реальном использовании в бизнесе), она выдает совершенно неадекватные, хаотичные и ошибочные предсказания.</w:t>
      </w:r>
      <w:r>
        <w:rPr>
          <w:rFonts w:hint="eastAsia" w:eastAsiaTheme="minorEastAsia"/>
          <w:lang w:val="en-US" w:eastAsia="zh-CN"/>
        </w:rPr>
        <w:t xml:space="preserve"> </w:t>
      </w:r>
      <w:r>
        <w:rPr>
          <w:rFonts w:hint="default" w:eastAsiaTheme="minorEastAsia"/>
          <w:b/>
          <w:bCs/>
          <w:lang w:val="ru-RU" w:eastAsia="zh-CN"/>
        </w:rPr>
        <w:t>Аналогия из жизни:</w:t>
      </w:r>
      <w:r>
        <w:rPr>
          <w:rFonts w:hint="default" w:eastAsiaTheme="minorEastAsia"/>
          <w:lang w:val="ru-RU" w:eastAsia="zh-CN"/>
        </w:rPr>
        <w:t xml:space="preserve"> Представьте школьника, который вместо того, чтобы понять формулы по физике, просто зазубрил правильные ответы к конкретным задачам из домашнего задания. Он получит «отлично» за домашнюю работу (тренировочные данные), но полностью провалит реальный экзамен, где те же задачи будут написаны с другими цифрами (новые данные).</w:t>
      </w:r>
    </w:p>
    <w:p w14:paraId="11F27D52">
      <w:pPr>
        <w:pStyle w:val="35"/>
        <w:numPr>
          <w:ilvl w:val="0"/>
          <w:numId w:val="1"/>
        </w:numPr>
        <w:spacing w:line="360" w:lineRule="auto"/>
        <w:ind w:left="284" w:hanging="141"/>
        <w:rPr>
          <w:rFonts w:eastAsiaTheme="minorEastAsia"/>
          <w:b/>
          <w:bCs/>
          <w:lang w:val="ru-RU"/>
        </w:rPr>
      </w:pPr>
      <w:r>
        <w:rPr>
          <w:rFonts w:eastAsiaTheme="minorEastAsia"/>
          <w:b/>
          <w:bCs/>
          <w:lang w:val="ru-RU"/>
        </w:rPr>
        <w:t>Почему мы не можем оценить качество модели на обучающем наборе данных?</w:t>
      </w:r>
    </w:p>
    <w:p w14:paraId="3365385A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ru-RU" w:eastAsia="zh-CN"/>
        </w:rPr>
      </w:pPr>
      <w:r>
        <w:rPr>
          <w:rFonts w:hint="default" w:eastAsiaTheme="minorEastAsia"/>
          <w:lang w:val="en-US" w:eastAsia="zh-CN"/>
        </w:rPr>
        <w:t xml:space="preserve">Оценка на обучающих данных даёт смещённую (оптимистичную) оценку </w:t>
      </w:r>
    </w:p>
    <w:p w14:paraId="0272C7FA">
      <w:pPr>
        <w:widowControl/>
        <w:spacing w:line="360" w:lineRule="auto"/>
        <w:ind w:firstLine="240" w:firstLineChars="100"/>
        <w:jc w:val="both"/>
        <w:rPr>
          <w:rFonts w:hint="default" w:eastAsiaTheme="minorEastAsia"/>
          <w:lang w:val="ru-RU" w:eastAsia="zh-CN"/>
        </w:rPr>
      </w:pPr>
      <w:r>
        <w:rPr>
          <w:rFonts w:hint="default" w:eastAsiaTheme="minorEastAsia"/>
          <w:lang w:val="en-US" w:eastAsia="zh-CN"/>
        </w:rPr>
        <w:t xml:space="preserve">качества, поскольку модель уже «видела» эти примеры и могла подстроиться </w:t>
      </w:r>
    </w:p>
    <w:p w14:paraId="02C924A1">
      <w:pPr>
        <w:widowControl/>
        <w:spacing w:line="360" w:lineRule="auto"/>
        <w:ind w:firstLine="240" w:firstLineChars="100"/>
        <w:jc w:val="both"/>
        <w:rPr>
          <w:rFonts w:hint="default" w:eastAsiaTheme="minorEastAsia"/>
          <w:lang w:val="ru-RU" w:eastAsia="zh-CN"/>
        </w:rPr>
      </w:pPr>
      <w:r>
        <w:rPr>
          <w:rFonts w:hint="default" w:eastAsiaTheme="minorEastAsia"/>
          <w:lang w:val="en-US" w:eastAsia="zh-CN"/>
        </w:rPr>
        <w:t xml:space="preserve">под них. Чтобы объективно оценить способность модели к обобщению, </w:t>
      </w:r>
    </w:p>
    <w:p w14:paraId="1C8EBE0A">
      <w:pPr>
        <w:widowControl/>
        <w:spacing w:line="360" w:lineRule="auto"/>
        <w:ind w:firstLine="240" w:firstLineChars="100"/>
        <w:jc w:val="both"/>
        <w:rPr>
          <w:rFonts w:hint="default" w:eastAsiaTheme="minorEastAsia"/>
          <w:lang w:val="ru-RU" w:eastAsia="zh-CN"/>
        </w:rPr>
      </w:pPr>
      <w:r>
        <w:rPr>
          <w:rFonts w:hint="default" w:eastAsiaTheme="minorEastAsia"/>
          <w:lang w:val="en-US" w:eastAsia="zh-CN"/>
        </w:rPr>
        <w:t xml:space="preserve">необходимо использовать отдельную выборку, не участвовавшую в обучении </w:t>
      </w:r>
    </w:p>
    <w:p w14:paraId="6EFA4B44">
      <w:pPr>
        <w:widowControl/>
        <w:spacing w:line="360" w:lineRule="auto"/>
        <w:ind w:firstLine="240" w:firstLineChars="100"/>
        <w:jc w:val="both"/>
      </w:pPr>
      <w:r>
        <w:rPr>
          <w:rFonts w:hint="default" w:eastAsiaTheme="minorEastAsia"/>
          <w:lang w:val="en-US" w:eastAsia="zh-CN"/>
        </w:rPr>
        <w:t>(валидационную или тестовую).</w:t>
      </w:r>
    </w:p>
    <w:p w14:paraId="4411A405">
      <w:pPr>
        <w:pStyle w:val="35"/>
        <w:numPr>
          <w:ilvl w:val="0"/>
          <w:numId w:val="1"/>
        </w:numPr>
        <w:spacing w:line="360" w:lineRule="auto"/>
        <w:ind w:left="284" w:hanging="141"/>
        <w:rPr>
          <w:rFonts w:eastAsiaTheme="minorEastAsia"/>
          <w:b/>
          <w:bCs/>
          <w:lang w:val="ru-RU"/>
        </w:rPr>
      </w:pPr>
      <w:r>
        <w:rPr>
          <w:rFonts w:eastAsiaTheme="minorEastAsia"/>
          <w:b/>
          <w:bCs/>
          <w:lang w:val="ru-RU"/>
        </w:rPr>
        <w:t>Что такое регуляризация и как она помогает управлять сложностью модели?</w:t>
      </w:r>
    </w:p>
    <w:p w14:paraId="66912E18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Регуляризация — это набор методов, которые вводят дополнительные </w:t>
      </w:r>
    </w:p>
    <w:p w14:paraId="314A7B82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ограничения или штрафы в процессе обучения, чтобы уменьшить сложность </w:t>
      </w:r>
    </w:p>
    <w:p w14:paraId="62A5387A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модели. Она помогает бороться с переобучением, ограничивая величину </w:t>
      </w:r>
    </w:p>
    <w:p w14:paraId="3683BEC4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параметров (например, L1 и L2 регуляризация) или добавляя шум, что не </w:t>
      </w:r>
    </w:p>
    <w:p w14:paraId="2CAAF1C2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позволяет модели чрезмерно подстраиваться под обучающие данные и </w:t>
      </w:r>
    </w:p>
    <w:p w14:paraId="37E9A2BA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способствует лучшему обобщению.</w:t>
      </w:r>
    </w:p>
    <w:p w14:paraId="3815A369">
      <w:pPr>
        <w:widowControl/>
        <w:jc w:val="left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br w:type="page"/>
      </w:r>
    </w:p>
    <w:p w14:paraId="07727589">
      <w:pPr>
        <w:pStyle w:val="2"/>
        <w:jc w:val="center"/>
        <w:rPr>
          <w:lang w:val="ru-RU"/>
        </w:rPr>
      </w:pPr>
      <w:r>
        <w:rPr>
          <w:rFonts w:eastAsiaTheme="majorEastAsia"/>
          <w:lang w:val="ru-RU"/>
        </w:rPr>
        <w:t>3.</w:t>
      </w:r>
      <w:r>
        <w:rPr>
          <w:rFonts w:hint="eastAsia" w:eastAsiaTheme="majorEastAsia"/>
          <w:lang w:val="ru-RU"/>
        </w:rPr>
        <w:t xml:space="preserve"> </w:t>
      </w:r>
      <w:r>
        <w:rPr>
          <w:rFonts w:eastAsiaTheme="majorEastAsia"/>
          <w:lang w:val="ru-RU"/>
        </w:rPr>
        <w:t>Экспериментальная процедура и</w:t>
      </w:r>
      <w:r>
        <w:rPr>
          <w:rFonts w:hint="eastAsia" w:eastAsiaTheme="majorEastAsia"/>
          <w:lang w:val="ru-RU"/>
        </w:rPr>
        <w:t xml:space="preserve"> </w:t>
      </w:r>
      <w:r>
        <w:rPr>
          <w:rFonts w:eastAsiaTheme="majorEastAsia"/>
          <w:lang w:val="ru-RU"/>
        </w:rPr>
        <w:t>анализ результатов</w:t>
      </w:r>
    </w:p>
    <w:p w14:paraId="2B7BDD94">
      <w:pPr>
        <w:pStyle w:val="3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ШАГ 1: </w:t>
      </w:r>
      <w:r>
        <w:rPr>
          <w:lang w:val="ru-RU"/>
        </w:rPr>
        <w:t>Создайте парные</w:t>
      </w:r>
      <w:r>
        <w:rPr>
          <w:rFonts w:hint="eastAsia" w:eastAsiaTheme="minorEastAsia"/>
          <w:lang w:val="ru-RU"/>
        </w:rPr>
        <w:t xml:space="preserve"> </w:t>
      </w:r>
      <w:r>
        <w:rPr>
          <w:lang w:val="ru-RU"/>
        </w:rPr>
        <w:t>диаграммы для визуального анализа характеристик данных.</w:t>
      </w:r>
    </w:p>
    <w:p w14:paraId="0EEFA413">
      <w:pPr>
        <w:spacing w:line="360" w:lineRule="auto"/>
        <w:ind w:firstLine="240" w:firstLineChars="100"/>
        <w:jc w:val="center"/>
        <w:rPr>
          <w:rFonts w:eastAsiaTheme="minorEastAsia"/>
        </w:rPr>
      </w:pPr>
      <w:r>
        <w:drawing>
          <wp:inline distT="0" distB="0" distL="114300" distR="114300">
            <wp:extent cx="5273040" cy="457771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7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B3044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Датасет Iris содержит информацию о трех видах ирисов. pairplot из библиотеки seaborn — это идеальный инструмент, чтобы увидеть, как признаки соотносятся друг с другом и насколько хорошо классы разделимы линейно.</w:t>
      </w:r>
    </w:p>
    <w:p w14:paraId="64CBCBBA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На графиках будет четко видно, что класс Iris-setosa легко отделяется от двух других классов прямой линией, в то время как versicolor и virginica немного пересекаются.</w:t>
      </w:r>
    </w:p>
    <w:p w14:paraId="736FD942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Можно наглядно сделать вывод: Iris-setosa (обычно это синие точки на рисунке) имеет очень четкие физические границы в пространстве признаков по сравнению с двумя другими типами цветов. Это означает, что это категория «линейно разделима». В то время как точки данных Versicolor и Virginica перекрываются на краях, что указывает на то, что их различие требует чуть более сложной границы принятия решений.</w:t>
      </w:r>
    </w:p>
    <w:p w14:paraId="7E17BF8A">
      <w:pPr>
        <w:pStyle w:val="3"/>
        <w:rPr>
          <w:rFonts w:ascii="SimSun" w:hAnsi="SimSun" w:eastAsia="SimSun" w:cs="SimSun"/>
          <w:sz w:val="24"/>
          <w:szCs w:val="24"/>
        </w:rPr>
      </w:pPr>
    </w:p>
    <w:p w14:paraId="4C4B185D">
      <w:pPr>
        <w:pStyle w:val="3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ШАГ 2: Выполните бинарную классификацию на наборе данных.</w:t>
      </w:r>
    </w:p>
    <w:p w14:paraId="3E1ECE73">
      <w:pPr>
        <w:spacing w:line="360" w:lineRule="auto"/>
        <w:ind w:firstLine="240" w:firstLineChars="100"/>
        <w:jc w:val="center"/>
        <w:rPr>
          <w:rFonts w:eastAsiaTheme="minorEastAsia"/>
          <w:lang w:val="ru-RU"/>
        </w:rPr>
      </w:pPr>
      <w:r>
        <w:drawing>
          <wp:inline distT="0" distB="0" distL="114300" distR="114300">
            <wp:extent cx="3375660" cy="1470660"/>
            <wp:effectExtent l="0" t="0" r="762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916E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Датасет Iris содержит три класса. Логистическая регрессия в своей базовой форме предназначена для бинарной классификации (два класса). Чтобы выполнить задание корректно, нам нужно отфильтровать данные, оставив только два вида ирисов.</w:t>
      </w:r>
    </w:p>
    <w:p w14:paraId="7D2B51FD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Это доказывает, что модель логистической регрессии показала отличные результаты в задаче классификации этих двух категорий (точность 100%). Это подтверждает наблюдение, которое мы сделали на первом шаге с графиком pairplot: поскольку эти две категории полностью не пересекаются в пространстве признаков, базовый линейный классификатор (логистическая регрессия) может идеально провести разделяющую линию между ними, не прибегая к сложным моделям глубокого обучения или деревьям.</w:t>
      </w:r>
    </w:p>
    <w:p w14:paraId="32D5D57C">
      <w:pPr>
        <w:pStyle w:val="3"/>
        <w:rPr>
          <w:rFonts w:eastAsiaTheme="minorEastAsia"/>
          <w:lang w:val="ru-RU"/>
        </w:rPr>
      </w:pPr>
    </w:p>
    <w:p w14:paraId="555DFBE2">
      <w:pPr>
        <w:pStyle w:val="3"/>
        <w:rPr>
          <w:rFonts w:ascii="Times New Roman" w:hAnsi="Times New Roman" w:cs="Times New Roman" w:eastAsiaTheme="minorEastAsia"/>
          <w:b/>
          <w:color w:val="000000" w:themeColor="text1"/>
          <w:kern w:val="2"/>
          <w:sz w:val="24"/>
          <w:szCs w:val="28"/>
          <w:lang w:val="ru-RU" w:eastAsia="zh-CN" w:bidi="ar-SA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lang w:val="ru-RU"/>
        </w:rPr>
        <w:t>ШАГ 3:</w:t>
      </w:r>
      <w:r>
        <w:rPr>
          <w:rFonts w:hint="eastAsia" w:eastAsiaTheme="minorEastAsia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color w:val="000000" w:themeColor="text1"/>
          <w:kern w:val="2"/>
          <w:sz w:val="24"/>
          <w:szCs w:val="28"/>
          <w:lang w:val="ru-RU" w:eastAsia="zh-CN" w:bidi="ar-SA"/>
          <w14:textFill>
            <w14:solidFill>
              <w14:schemeClr w14:val="tx1"/>
            </w14:solidFill>
          </w14:textFill>
        </w:rPr>
        <w:t>Демонстрация переобучения Линейной Регрессии</w:t>
      </w:r>
    </w:p>
    <w:p w14:paraId="7A1B71E6">
      <w:pPr>
        <w:spacing w:line="360" w:lineRule="auto"/>
        <w:ind w:firstLine="240" w:firstLineChars="100"/>
        <w:jc w:val="center"/>
        <w:rPr>
          <w:rFonts w:eastAsiaTheme="minorEastAsia"/>
          <w:lang w:val="ru-RU"/>
        </w:rPr>
      </w:pPr>
      <w:r>
        <w:drawing>
          <wp:inline distT="0" distB="0" distL="114300" distR="114300">
            <wp:extent cx="5266055" cy="2553335"/>
            <wp:effectExtent l="0" t="0" r="6985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EEA4F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Переобучение (overfitting) возникает, когда модель "заучивает" тренировочные данные вместе с их шумом, теряя способность к обобщению. Чтобы показать это на линейной регрессии, мы сгенерируем данные с небольшим шумом и попытаемся описать их полиномом очень высокой степени.</w:t>
      </w:r>
    </w:p>
    <w:p w14:paraId="6C4A738F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Анализ заключений:</w:t>
      </w:r>
    </w:p>
    <w:p w14:paraId="54ED7710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Левая диаграмма (Недообучение / многочлен 1-го порядка - недообучение): синяя линия — это жесткая прямая. Вывод: когда модель слишком простая (пытается описать кривую прямой линией), она не может ни пройти через точки данных, ни соответствовать реальному закономерному поведению, проявляя высокую смещенность (High Bias).</w:t>
      </w:r>
    </w:p>
    <w:p w14:paraId="08906712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Средняя диаграмма (Оптимальный баланс / многочлен 5-го порядка - идеальный баланс): синяя кривая почти идеально совпадает с желтой пунктирной линией, но не стремится пройти через каждый шумовой точечный сигнал. Вывод: сложность модели подходит идеально, она успешно изучила «суть» данных (синусоидальный закономерность), одновременно игнорируя случайно возникший «шум», обладая наибольшей способностью к обобщению (наиболее точное предсказание новых данных).</w:t>
      </w:r>
    </w:p>
    <w:p w14:paraId="0EB4AA10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Правая диаграмма (Переобучение / многочлен 15-го порядка - сильное переобучение): синяя кривая имеет экстремально искажённую форму «американских горок», чтобы насильно пройти через каждую черную точку, между точками происходят абсурдные взлёты и падения. Вывод: модель чрезмерно сложна, запоминает «случайную ошибку» в данных как абсолютную истину. Хотя ошибка на существующих тренировочных точках равна 0, при встрече с новыми точками предсказания будут крайне неверными, проявляя высокую дисперсию (High Variance).</w:t>
      </w:r>
    </w:p>
    <w:p w14:paraId="52D90BB8">
      <w:pPr>
        <w:widowControl/>
        <w:jc w:val="left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br w:type="page"/>
      </w:r>
    </w:p>
    <w:p w14:paraId="54B44D94">
      <w:pPr>
        <w:pStyle w:val="2"/>
        <w:jc w:val="center"/>
        <w:rPr>
          <w:rFonts w:eastAsiaTheme="majorEastAsia"/>
          <w:lang w:val="ru-RU"/>
        </w:rPr>
      </w:pPr>
      <w:r>
        <w:rPr>
          <w:rFonts w:eastAsiaTheme="majorEastAsia"/>
          <w:lang w:val="ru-RU"/>
        </w:rPr>
        <w:t>4. Заключение</w:t>
      </w:r>
    </w:p>
    <w:p w14:paraId="58665464">
      <w:pPr>
        <w:spacing w:line="360" w:lineRule="auto"/>
        <w:ind w:firstLine="240" w:firstLineChars="100"/>
        <w:rPr>
          <w:rFonts w:hint="default" w:eastAsiaTheme="minorEastAsia"/>
          <w:lang w:val="ru-RU"/>
        </w:rPr>
      </w:pPr>
      <w:r>
        <w:rPr>
          <w:rFonts w:hint="default" w:eastAsiaTheme="minorEastAsia"/>
          <w:lang w:val="ru-RU"/>
        </w:rPr>
        <w:t>Распределение признаков и проверка линейной сепарабельности Результаты EDA показывают, что выборка Iris-setosa имеет значительную физическую отдельность от остальных кластеров в различных измерениях признаков. Последующая модель логистической регрессии достигла точности классификации Accuracy = 1.0</w:t>
      </w:r>
      <w:r>
        <w:rPr>
          <w:rFonts w:hint="eastAsia" w:eastAsiaTheme="minorEastAsia"/>
          <w:lang w:val="en-US" w:eastAsia="zh-CN"/>
        </w:rPr>
        <w:t xml:space="preserve"> </w:t>
      </w:r>
      <w:r>
        <w:rPr>
          <w:rFonts w:hint="default" w:eastAsiaTheme="minorEastAsia"/>
          <w:lang w:val="ru-RU"/>
        </w:rPr>
        <w:t xml:space="preserve">на тестовом наборе после исключения Virginica. Это подтверждает, что для строго линейных сепарабельных данных в пространстве признаков базовая линейная модель может достигать глобальной оптимизации без внедрения алгоритмов высокой сложности. </w:t>
      </w:r>
    </w:p>
    <w:p w14:paraId="46BB9C6A">
      <w:pPr>
        <w:spacing w:line="360" w:lineRule="auto"/>
        <w:ind w:firstLine="240" w:firstLineChars="100"/>
        <w:rPr>
          <w:rFonts w:eastAsiaTheme="minorEastAsia"/>
          <w:lang w:val="ru-RU"/>
        </w:rPr>
      </w:pPr>
      <w:r>
        <w:rPr>
          <w:rFonts w:hint="default" w:eastAsiaTheme="minorEastAsia"/>
          <w:lang w:val="ru-RU"/>
        </w:rPr>
        <w:t xml:space="preserve"> Сложность модели и анализ ошибок обобщения В эксперименте с подгонкой регрессии полиномав наблюдаются следующие явления: Высокое отклонение (недоподгон, d=1): линейная модель не может отображать базовое нелинейное многообразие данных, что приводит к высоким ошибкам прогнозирования как в обучающем наборе, так и в невидимых данных. Оптимальный компромисс (идеальный баланс, d=</w:t>
      </w:r>
      <w:r>
        <w:rPr>
          <w:rFonts w:hint="eastAsia" w:eastAsiaTheme="minorEastAsia"/>
          <w:lang w:val="en-US" w:eastAsia="zh-CN"/>
        </w:rPr>
        <w:t>5</w:t>
      </w:r>
      <w:r>
        <w:rPr>
          <w:rFonts w:hint="default" w:eastAsiaTheme="minorEastAsia"/>
          <w:lang w:val="ru-RU"/>
        </w:rPr>
        <w:t>): сложность модели соответствует реальному механизму генерации данных. Модель успешно извлекает структурный сигнал (синусоидальный закон), сглаживая случайный шум , демонстрируя наилучшую способность к обобщению. Высокая дисперсия (перенастройка, d=15): По мере резкого расширения размерности признака модель теряет устойчивость к шуму и вынуждена проходить каждую обучающую точку выборки. Это приводит к ошибке обучения, близкой к 0, но граница принятия решения резко колеблется, вызывая у модели сильное предсказающее смещение при любых новых данных, отклоняющихся от обучающего набора данных, и способность обобщения рушится.</w:t>
      </w:r>
    </w:p>
    <w:sectPr>
      <w:footerReference r:id="rId3" w:type="first"/>
      <w:pgSz w:w="11906" w:h="16838"/>
      <w:pgMar w:top="1440" w:right="1800" w:bottom="1440" w:left="1800" w:header="851" w:footer="992" w:gutter="0"/>
      <w:cols w:space="425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FDAAC">
    <w:pPr>
      <w:jc w:val="center"/>
      <w:rPr>
        <w:rFonts w:ascii="Calibri" w:hAnsi="Calibri" w:eastAsia="SimSun"/>
        <w:i/>
        <w:sz w:val="28"/>
      </w:rPr>
    </w:pPr>
    <w:r>
      <w:rPr>
        <w:rFonts w:ascii="Calibri" w:hAnsi="Calibri" w:eastAsia="SimSun"/>
        <w:i/>
        <w:sz w:val="28"/>
      </w:rPr>
      <w:t>202</w:t>
    </w:r>
    <w:r>
      <w:rPr>
        <w:rFonts w:hint="eastAsia" w:ascii="Calibri" w:hAnsi="Calibri" w:eastAsia="SimSun"/>
        <w:i/>
        <w:sz w:val="28"/>
        <w:lang w:val="en-GB"/>
      </w:rPr>
      <w:t>6</w:t>
    </w:r>
    <w:r>
      <w:rPr>
        <w:rFonts w:ascii="Calibri" w:hAnsi="Calibri" w:eastAsia="SimSun"/>
        <w:i/>
        <w:sz w:val="28"/>
      </w:rPr>
      <w:t xml:space="preserve"> г.</w:t>
    </w:r>
  </w:p>
  <w:p w14:paraId="1724C01E">
    <w:pPr>
      <w:pStyle w:val="1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2E7A99"/>
    <w:multiLevelType w:val="multilevel"/>
    <w:tmpl w:val="4E2E7A99"/>
    <w:lvl w:ilvl="0" w:tentative="0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80" w:hanging="440"/>
      </w:pPr>
    </w:lvl>
    <w:lvl w:ilvl="2" w:tentative="0">
      <w:start w:val="1"/>
      <w:numFmt w:val="lowerRoman"/>
      <w:lvlText w:val="%3."/>
      <w:lvlJc w:val="right"/>
      <w:pPr>
        <w:ind w:left="1920" w:hanging="440"/>
      </w:pPr>
    </w:lvl>
    <w:lvl w:ilvl="3" w:tentative="0">
      <w:start w:val="1"/>
      <w:numFmt w:val="decimal"/>
      <w:lvlText w:val="%4."/>
      <w:lvlJc w:val="left"/>
      <w:pPr>
        <w:ind w:left="2360" w:hanging="440"/>
      </w:pPr>
    </w:lvl>
    <w:lvl w:ilvl="4" w:tentative="0">
      <w:start w:val="1"/>
      <w:numFmt w:val="lowerLetter"/>
      <w:lvlText w:val="%5)"/>
      <w:lvlJc w:val="left"/>
      <w:pPr>
        <w:ind w:left="2800" w:hanging="440"/>
      </w:pPr>
    </w:lvl>
    <w:lvl w:ilvl="5" w:tentative="0">
      <w:start w:val="1"/>
      <w:numFmt w:val="lowerRoman"/>
      <w:lvlText w:val="%6."/>
      <w:lvlJc w:val="right"/>
      <w:pPr>
        <w:ind w:left="3240" w:hanging="440"/>
      </w:pPr>
    </w:lvl>
    <w:lvl w:ilvl="6" w:tentative="0">
      <w:start w:val="1"/>
      <w:numFmt w:val="decimal"/>
      <w:lvlText w:val="%7."/>
      <w:lvlJc w:val="left"/>
      <w:pPr>
        <w:ind w:left="3680" w:hanging="440"/>
      </w:pPr>
    </w:lvl>
    <w:lvl w:ilvl="7" w:tentative="0">
      <w:start w:val="1"/>
      <w:numFmt w:val="lowerLetter"/>
      <w:lvlText w:val="%8)"/>
      <w:lvlJc w:val="left"/>
      <w:pPr>
        <w:ind w:left="4120" w:hanging="440"/>
      </w:pPr>
    </w:lvl>
    <w:lvl w:ilvl="8" w:tentative="0">
      <w:start w:val="1"/>
      <w:numFmt w:val="lowerRoman"/>
      <w:lvlText w:val="%9."/>
      <w:lvlJc w:val="right"/>
      <w:pPr>
        <w:ind w:left="45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29F"/>
    <w:rsid w:val="00066145"/>
    <w:rsid w:val="000A666E"/>
    <w:rsid w:val="00144D32"/>
    <w:rsid w:val="00176B12"/>
    <w:rsid w:val="0032439F"/>
    <w:rsid w:val="003D445D"/>
    <w:rsid w:val="00405E4D"/>
    <w:rsid w:val="00511F1E"/>
    <w:rsid w:val="00552A30"/>
    <w:rsid w:val="00576B2A"/>
    <w:rsid w:val="005A77B5"/>
    <w:rsid w:val="006302BD"/>
    <w:rsid w:val="00634549"/>
    <w:rsid w:val="00662E9F"/>
    <w:rsid w:val="006F590E"/>
    <w:rsid w:val="007A2FCB"/>
    <w:rsid w:val="007D469D"/>
    <w:rsid w:val="007F3743"/>
    <w:rsid w:val="00881025"/>
    <w:rsid w:val="008F79BB"/>
    <w:rsid w:val="00900913"/>
    <w:rsid w:val="00905E88"/>
    <w:rsid w:val="009100C5"/>
    <w:rsid w:val="00980325"/>
    <w:rsid w:val="00A2478F"/>
    <w:rsid w:val="00A410AE"/>
    <w:rsid w:val="00A624B3"/>
    <w:rsid w:val="00A65C2F"/>
    <w:rsid w:val="00A8065F"/>
    <w:rsid w:val="00AA585A"/>
    <w:rsid w:val="00AE7294"/>
    <w:rsid w:val="00B207ED"/>
    <w:rsid w:val="00BF6528"/>
    <w:rsid w:val="00C5729F"/>
    <w:rsid w:val="00DD34C3"/>
    <w:rsid w:val="00DE3E60"/>
    <w:rsid w:val="00DE6A6F"/>
    <w:rsid w:val="00FD1D77"/>
    <w:rsid w:val="06EB0BBA"/>
    <w:rsid w:val="091F2D9D"/>
    <w:rsid w:val="0A397E8E"/>
    <w:rsid w:val="1787048B"/>
    <w:rsid w:val="181D2B9D"/>
    <w:rsid w:val="20BA367F"/>
    <w:rsid w:val="225B49EE"/>
    <w:rsid w:val="23241284"/>
    <w:rsid w:val="29D4102F"/>
    <w:rsid w:val="324E1E79"/>
    <w:rsid w:val="3B84690C"/>
    <w:rsid w:val="3D1837B0"/>
    <w:rsid w:val="40B57568"/>
    <w:rsid w:val="422449A5"/>
    <w:rsid w:val="45B774DF"/>
    <w:rsid w:val="47857C94"/>
    <w:rsid w:val="490638DF"/>
    <w:rsid w:val="49E113CD"/>
    <w:rsid w:val="5FF7504F"/>
    <w:rsid w:val="60A16261"/>
    <w:rsid w:val="61C86CA3"/>
    <w:rsid w:val="6A441C65"/>
    <w:rsid w:val="6CC12C6C"/>
    <w:rsid w:val="6EE63B08"/>
    <w:rsid w:val="725D0E16"/>
    <w:rsid w:val="76065B94"/>
    <w:rsid w:val="79B002F1"/>
    <w:rsid w:val="7BD8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b/>
      <w:sz w:val="28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b/>
      <w:szCs w:val="28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43"/>
    <w:qFormat/>
    <w:uiPriority w:val="1"/>
    <w:pPr>
      <w:autoSpaceDE w:val="0"/>
      <w:autoSpaceDN w:val="0"/>
      <w:jc w:val="left"/>
    </w:pPr>
    <w:rPr>
      <w:color w:val="auto"/>
      <w:kern w:val="0"/>
      <w:sz w:val="28"/>
      <w:szCs w:val="28"/>
      <w:lang w:val="ru-RU" w:eastAsia="en-US"/>
    </w:rPr>
  </w:style>
  <w:style w:type="paragraph" w:styleId="12">
    <w:name w:val="footer"/>
    <w:basedOn w:val="1"/>
    <w:link w:val="4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SimSun" w:hAnsi="SimSun" w:eastAsia="SimSun" w:cs="SimSun"/>
      <w:color w:val="auto"/>
      <w:kern w:val="0"/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semiHidden/>
    <w:unhideWhenUsed/>
    <w:uiPriority w:val="99"/>
    <w:rPr>
      <w:color w:val="0000FF"/>
      <w:u w:val="single"/>
    </w:rPr>
  </w:style>
  <w:style w:type="character" w:styleId="21">
    <w:name w:val="HTML Code"/>
    <w:basedOn w:val="19"/>
    <w:semiHidden/>
    <w:unhideWhenUsed/>
    <w:uiPriority w:val="99"/>
    <w:rPr>
      <w:rFonts w:ascii="SimSun" w:hAnsi="SimSun" w:eastAsia="SimSun" w:cs="SimSun"/>
      <w:sz w:val="24"/>
      <w:szCs w:val="24"/>
    </w:rPr>
  </w:style>
  <w:style w:type="character" w:customStyle="1" w:styleId="22">
    <w:name w:val="标题 1 字符"/>
    <w:basedOn w:val="19"/>
    <w:link w:val="2"/>
    <w:uiPriority w:val="9"/>
    <w:rPr>
      <w:rFonts w:ascii="Times New Roman" w:hAnsi="Times New Roman" w:eastAsia="Times New Roman" w:cs="Times New Roman"/>
      <w:b/>
      <w:color w:val="000000" w:themeColor="text1"/>
      <w:sz w:val="28"/>
      <w:szCs w:val="44"/>
      <w14:textFill>
        <w14:solidFill>
          <w14:schemeClr w14:val="tx1"/>
        </w14:solidFill>
      </w14:textFill>
    </w:rPr>
  </w:style>
  <w:style w:type="character" w:customStyle="1" w:styleId="23">
    <w:name w:val="标题 2 字符"/>
    <w:basedOn w:val="19"/>
    <w:link w:val="3"/>
    <w:uiPriority w:val="9"/>
    <w:rPr>
      <w:rFonts w:eastAsia="Times New Roman"/>
      <w:b/>
      <w:color w:val="000000" w:themeColor="text1"/>
      <w:kern w:val="2"/>
      <w:sz w:val="24"/>
      <w:szCs w:val="28"/>
      <w14:textFill>
        <w14:solidFill>
          <w14:schemeClr w14:val="tx1"/>
        </w14:solidFill>
      </w14:textFill>
    </w:rPr>
  </w:style>
  <w:style w:type="character" w:customStyle="1" w:styleId="24">
    <w:name w:val="标题 3 字符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19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19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7">
    <w:name w:val="标题 6 字符"/>
    <w:basedOn w:val="19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19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9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9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9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9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19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19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明显参考1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40">
    <w:name w:val="Placeholder Text"/>
    <w:basedOn w:val="19"/>
    <w:semiHidden/>
    <w:uiPriority w:val="99"/>
    <w:rPr>
      <w:color w:val="666666"/>
    </w:rPr>
  </w:style>
  <w:style w:type="character" w:customStyle="1" w:styleId="41">
    <w:name w:val="页眉 字符"/>
    <w:basedOn w:val="19"/>
    <w:link w:val="13"/>
    <w:uiPriority w:val="99"/>
    <w:rPr>
      <w:rFonts w:ascii="Times New Roman" w:hAnsi="Times New Roman" w:eastAsia="Times New Roman" w:cs="Times New Roman"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42">
    <w:name w:val="页脚 字符"/>
    <w:basedOn w:val="19"/>
    <w:link w:val="12"/>
    <w:uiPriority w:val="99"/>
    <w:rPr>
      <w:rFonts w:ascii="Times New Roman" w:hAnsi="Times New Roman" w:eastAsia="Times New Roman" w:cs="Times New Roman"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43">
    <w:name w:val="正文文本 字符"/>
    <w:basedOn w:val="19"/>
    <w:link w:val="11"/>
    <w:uiPriority w:val="1"/>
    <w:rPr>
      <w:rFonts w:ascii="Times New Roman" w:hAnsi="Times New Roman" w:eastAsia="Times New Roman" w:cs="Times New Roman"/>
      <w:kern w:val="0"/>
      <w:sz w:val="28"/>
      <w:szCs w:val="28"/>
      <w:lang w:val="ru-RU" w:eastAsia="en-US"/>
    </w:rPr>
  </w:style>
  <w:style w:type="character" w:customStyle="1" w:styleId="44">
    <w:name w:val="math-inline"/>
    <w:basedOn w:val="1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AFC2F2-3D4E-441D-8CC2-29DAFFA613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1022</Words>
  <Characters>7019</Characters>
  <Lines>51</Lines>
  <Paragraphs>14</Paragraphs>
  <TotalTime>126</TotalTime>
  <ScaleCrop>false</ScaleCrop>
  <LinksUpToDate>false</LinksUpToDate>
  <CharactersWithSpaces>7998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2025-12-24T13:02:00Z</dcterms:created>
  <dc:creator>Hi8041</dc:creator>
  <cp:lastModifiedBy>对就是我</cp:lastModifiedBy>
  <dcterms:modified xsi:type="dcterms:W3CDTF">2026-04-30T21:46:20Z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11701413F92648E7AD5271AB259A0ED2_13</vt:lpwstr>
  </property>
  <property fmtid="{D5CDD505-2E9C-101B-9397-08002B2CF9AE}" pid="4" name="KSOTemplateDocerSaveRecord">
    <vt:lpwstr>eyJoZGlkIjoiMDc4NjI3MTE1YjUwOGFlODJiZjEzMjYwZGQ1OGI5NjEiLCJ1c2VySWQiOiIzMTU3NjA1NDgifQ==</vt:lpwstr>
  </property>
</Properties>
</file>