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W w:w="9782" w:type="dxa"/>
        <w:tblInd w:w="-85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8402"/>
      </w:tblGrid>
      <w:tr w14:paraId="08587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0" w:type="dxa"/>
          </w:tcPr>
          <w:p w14:paraId="687DAC7D">
            <w:pPr>
              <w:rPr>
                <w:rFonts w:ascii="Calibri" w:hAnsi="Calibri" w:eastAsia="SimSun"/>
                <w:b/>
              </w:rPr>
            </w:pPr>
            <w:r>
              <w:rPr>
                <w:rFonts w:ascii="Calibri" w:hAnsi="Calibri" w:eastAsia="SimSun"/>
                <w:lang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Picture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02" w:type="dxa"/>
          </w:tcPr>
          <w:p w14:paraId="384F2614">
            <w:pPr>
              <w:spacing w:before="21" w:line="242" w:lineRule="auto"/>
              <w:ind w:left="20" w:right="18" w:firstLine="1"/>
              <w:jc w:val="center"/>
              <w:rPr>
                <w:lang w:val="ru-RU"/>
              </w:rPr>
            </w:pPr>
            <w:r>
              <w:rPr>
                <w:w w:val="105"/>
                <w:lang w:val="ru-RU"/>
              </w:rPr>
              <w:t xml:space="preserve">Министерство науки и высшего образования Российской Федерации </w:t>
            </w:r>
            <w:r>
              <w:rPr>
                <w:lang w:val="ru-RU"/>
              </w:rPr>
              <w:t>Федеральное государственное бюджетное образовательное учреждение</w:t>
            </w:r>
            <w:r>
              <w:rPr>
                <w:spacing w:val="80"/>
                <w:w w:val="105"/>
                <w:lang w:val="ru-RU"/>
              </w:rPr>
              <w:t xml:space="preserve"> </w:t>
            </w:r>
            <w:r>
              <w:rPr>
                <w:w w:val="105"/>
                <w:lang w:val="ru-RU"/>
              </w:rPr>
              <w:t>высшего образования</w:t>
            </w:r>
          </w:p>
          <w:p w14:paraId="4F74B1F8">
            <w:pPr>
              <w:spacing w:before="1" w:line="242" w:lineRule="auto"/>
              <w:ind w:left="469" w:right="508"/>
              <w:jc w:val="center"/>
              <w:rPr>
                <w:rFonts w:eastAsiaTheme="minorEastAsia"/>
                <w:spacing w:val="-2"/>
                <w:w w:val="105"/>
                <w:lang w:val="ru-RU"/>
              </w:rPr>
            </w:pPr>
            <w:r>
              <w:rPr>
                <w:spacing w:val="-2"/>
                <w:w w:val="105"/>
                <w:lang w:val="ru-RU"/>
              </w:rPr>
              <w:t>«Московский</w:t>
            </w:r>
            <w:r>
              <w:rPr>
                <w:spacing w:val="-13"/>
                <w:w w:val="105"/>
                <w:lang w:val="ru-RU"/>
              </w:rPr>
              <w:t xml:space="preserve"> </w:t>
            </w:r>
            <w:r>
              <w:rPr>
                <w:spacing w:val="-2"/>
                <w:w w:val="105"/>
                <w:lang w:val="ru-RU"/>
              </w:rPr>
              <w:t>государственный</w:t>
            </w:r>
            <w:r>
              <w:rPr>
                <w:spacing w:val="-13"/>
                <w:w w:val="105"/>
                <w:lang w:val="ru-RU"/>
              </w:rPr>
              <w:t xml:space="preserve"> </w:t>
            </w:r>
            <w:r>
              <w:rPr>
                <w:spacing w:val="-2"/>
                <w:w w:val="105"/>
                <w:lang w:val="ru-RU"/>
              </w:rPr>
              <w:t>технический</w:t>
            </w:r>
            <w:r>
              <w:rPr>
                <w:spacing w:val="-13"/>
                <w:w w:val="105"/>
                <w:lang w:val="ru-RU"/>
              </w:rPr>
              <w:t xml:space="preserve"> </w:t>
            </w:r>
            <w:r>
              <w:rPr>
                <w:spacing w:val="-2"/>
                <w:w w:val="105"/>
                <w:lang w:val="ru-RU"/>
              </w:rPr>
              <w:t xml:space="preserve">университет </w:t>
            </w:r>
          </w:p>
          <w:p w14:paraId="4ADC55BA">
            <w:pPr>
              <w:spacing w:before="1" w:line="242" w:lineRule="auto"/>
              <w:ind w:left="469" w:right="508"/>
              <w:jc w:val="center"/>
              <w:rPr>
                <w:lang w:val="ru-RU"/>
              </w:rPr>
            </w:pPr>
            <w:r>
              <w:rPr>
                <w:w w:val="105"/>
                <w:lang w:val="ru-RU"/>
              </w:rPr>
              <w:t>имени Н. Э. Баумана</w:t>
            </w:r>
          </w:p>
          <w:p w14:paraId="01D1AA39">
            <w:pPr>
              <w:spacing w:line="242" w:lineRule="auto"/>
              <w:ind w:left="840" w:right="815"/>
              <w:jc w:val="center"/>
              <w:rPr>
                <w:rFonts w:eastAsiaTheme="minorEastAsia"/>
                <w:spacing w:val="-2"/>
                <w:w w:val="105"/>
                <w:lang w:val="ru-RU"/>
              </w:rPr>
            </w:pPr>
            <w:r>
              <w:rPr>
                <w:spacing w:val="-2"/>
                <w:w w:val="105"/>
                <w:lang w:val="ru-RU"/>
              </w:rPr>
              <w:t xml:space="preserve">(национальный исследовательский университет)» </w:t>
            </w:r>
          </w:p>
          <w:p w14:paraId="637C0487">
            <w:pPr>
              <w:spacing w:line="242" w:lineRule="auto"/>
              <w:ind w:left="840" w:right="815"/>
              <w:jc w:val="center"/>
              <w:rPr>
                <w:lang w:val="ru-RU"/>
              </w:rPr>
            </w:pPr>
            <w:r>
              <w:rPr>
                <w:w w:val="105"/>
                <w:lang w:val="ru-RU"/>
              </w:rPr>
              <w:t>(МГТУ им. Н. Э. Баумана)</w:t>
            </w:r>
          </w:p>
          <w:p w14:paraId="27C69540">
            <w:pPr>
              <w:jc w:val="center"/>
              <w:rPr>
                <w:rFonts w:ascii="Calibri" w:hAnsi="Calibri" w:eastAsia="SimSun"/>
                <w:b/>
                <w:lang w:val="ru-RU"/>
              </w:rPr>
            </w:pPr>
            <w:r>
              <w:rPr>
                <w:sz w:val="20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page">
                        <wp:posOffset>-735965</wp:posOffset>
                      </wp:positionH>
                      <wp:positionV relativeFrom="page">
                        <wp:posOffset>1572895</wp:posOffset>
                      </wp:positionV>
                      <wp:extent cx="6332855" cy="49530"/>
                      <wp:effectExtent l="0" t="0" r="0" b="0"/>
                      <wp:wrapNone/>
                      <wp:docPr id="712035966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32855" cy="49530"/>
                                <a:chOff x="0" y="0"/>
                                <a:chExt cx="6332855" cy="49530"/>
                              </a:xfrm>
                            </wpg:grpSpPr>
                            <wps:wsp>
                              <wps:cNvPr id="1104451412" name="Graphic 3"/>
                              <wps:cNvSpPr/>
                              <wps:spPr>
                                <a:xfrm>
                                  <a:off x="0" y="0"/>
                                  <a:ext cx="6332855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2855" h="33020">
                                      <a:moveTo>
                                        <a:pt x="633239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397"/>
                                      </a:lnTo>
                                      <a:lnTo>
                                        <a:pt x="6332397" y="32397"/>
                                      </a:lnTo>
                                      <a:lnTo>
                                        <a:pt x="63323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38715220" name="Graphic 4"/>
                              <wps:cNvSpPr/>
                              <wps:spPr>
                                <a:xfrm>
                                  <a:off x="0" y="45669"/>
                                  <a:ext cx="63328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2855">
                                      <a:moveTo>
                                        <a:pt x="0" y="0"/>
                                      </a:moveTo>
                                      <a:lnTo>
                                        <a:pt x="6332397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" o:spid="_x0000_s1026" o:spt="203" style="position:absolute;left:0pt;margin-left:-57.95pt;margin-top:123.85pt;height:3.9pt;width:498.65pt;mso-position-horizontal-relative:page;mso-position-vertical-relative:page;z-index:-251656192;mso-width-relative:page;mso-height-relative:page;" coordsize="6332855,49530" o:gfxdata="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rSKwRtwAAAAMAQAADwAAAAAAAAABACAAAAAiAAAAZHJz&#10;L2Rvd25yZXYueG1sUEsBAhQAFAAAAAgAh07iQH+66PrkAgAAxQgAAA4AAAAAAAAAAQAgAAAAKwEA&#10;AGRycy9lMm9Eb2MueG1sUEsFBgAAAAAGAAYAWQEAAIEGAAAAAA==&#10;">
                      <o:lock v:ext="edit" aspectratio="f"/>
                      <v:shape id="Graphic 3" o:spid="_x0000_s1026" o:spt="100" style="position:absolute;left:0;top:0;height:33020;width:6332855;" fillcolor="#000000" filled="t" stroked="f" coordsize="6332855,33020" o:gfxdata="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Qwon&#10;wAAAAOMAAAAPAAAAAAAAAAEAIAAAACIAAABkcnMvZG93bnJldi54bWxQSwECFAAUAAAACACHTuJA&#10;My8FnjsAAAA5AAAAEAAAAAAAAAABACAAAAAPAQAAZHJzL3NoYXBleG1sLnhtbFBLBQYAAAAABgAG&#10;AFsBAAC5AwAAAAA=&#10;" path="m6332397,0l0,0,0,32397,6332397,32397,6332397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4" o:spid="_x0000_s1026" o:spt="100" style="position:absolute;left:0;top:45669;height:1270;width:6332855;" filled="f" stroked="t" coordsize="6332855,1" o:gfxdata="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O6&#10;6xzCAAAA4gAAAA8AAAAAAAAAAQAgAAAAIgAAAGRycy9kb3ducmV2LnhtbFBLAQIUABQAAAAIAIdO&#10;4kAzLwWeOwAAADkAAAAQAAAAAAAAAAEAIAAAABEBAABkcnMvc2hhcGV4bWwueG1sUEsFBgAAAAAG&#10;AAYAWwEAALsDAAAAAA==&#10;" path="m0,0l6332397,0e">
                        <v:fill on="f" focussize="0,0"/>
                        <v:stroke weight="0.566929133858268pt" color="#000000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</w:p>
        </w:tc>
      </w:tr>
    </w:tbl>
    <w:p w14:paraId="45379893">
      <w:pPr>
        <w:ind w:left="-708" w:leftChars="-295"/>
        <w:rPr>
          <w:rFonts w:ascii="Calibri" w:hAnsi="Calibri" w:eastAsia="SimSun"/>
          <w:lang w:val="ru-RU"/>
        </w:rPr>
      </w:pPr>
    </w:p>
    <w:tbl>
      <w:tblPr>
        <w:tblStyle w:val="17"/>
        <w:tblW w:w="10065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8307"/>
      </w:tblGrid>
      <w:tr w14:paraId="0516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00E525E9">
            <w:pPr>
              <w:ind w:right="89" w:rightChars="37"/>
              <w:rPr>
                <w:rFonts w:eastAsia="SimSun"/>
              </w:rPr>
            </w:pPr>
            <w:r>
              <w:rPr>
                <w:rFonts w:eastAsia="SimSun"/>
              </w:rPr>
              <w:t>ФАКУЛЬТЕТ</w:t>
            </w:r>
          </w:p>
        </w:tc>
        <w:tc>
          <w:tcPr>
            <w:tcW w:w="830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1EBFB56">
            <w:pPr>
              <w:jc w:val="center"/>
              <w:rPr>
                <w:rFonts w:eastAsia="SimSun"/>
                <w:lang w:val="ru-RU"/>
              </w:rPr>
            </w:pPr>
            <w:r>
              <w:rPr>
                <w:rFonts w:eastAsia="SimSun"/>
                <w:lang w:val="ru-RU"/>
              </w:rPr>
              <w:t>ИУ «Информатика, искусственный интеллект и системы управления»</w:t>
            </w:r>
          </w:p>
        </w:tc>
      </w:tr>
    </w:tbl>
    <w:p w14:paraId="39DA279E">
      <w:pPr>
        <w:ind w:leftChars="-295" w:hanging="708" w:hangingChars="295"/>
        <w:rPr>
          <w:rFonts w:eastAsia="SimSun"/>
          <w:iCs/>
          <w:lang w:val="ru-RU"/>
        </w:rPr>
      </w:pPr>
    </w:p>
    <w:tbl>
      <w:tblPr>
        <w:tblStyle w:val="17"/>
        <w:tblW w:w="10065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8366"/>
      </w:tblGrid>
      <w:tr w14:paraId="2885F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14:paraId="012EB5C3">
            <w:pPr>
              <w:rPr>
                <w:rFonts w:eastAsia="SimSun"/>
                <w:i/>
              </w:rPr>
            </w:pPr>
            <w:r>
              <w:rPr>
                <w:rFonts w:eastAsia="SimSun"/>
              </w:rPr>
              <w:t>КАФЕДРА</w:t>
            </w:r>
          </w:p>
        </w:tc>
        <w:tc>
          <w:tcPr>
            <w:tcW w:w="8366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7FFB9C0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ИУ-1 «Системы автоматического управления»</w:t>
            </w:r>
          </w:p>
        </w:tc>
      </w:tr>
    </w:tbl>
    <w:p w14:paraId="36A023DD">
      <w:pPr>
        <w:ind w:left="-1" w:leftChars="-295" w:hanging="707" w:hangingChars="221"/>
        <w:rPr>
          <w:rFonts w:ascii="Calibri" w:hAnsi="Calibri" w:eastAsia="SimSun"/>
          <w:i/>
          <w:sz w:val="32"/>
        </w:rPr>
      </w:pPr>
    </w:p>
    <w:p w14:paraId="388C93ED">
      <w:pPr>
        <w:ind w:left="-1" w:leftChars="-295" w:hanging="707" w:hangingChars="221"/>
        <w:rPr>
          <w:rFonts w:ascii="Calibri" w:hAnsi="Calibri" w:eastAsia="SimSun"/>
          <w:i/>
          <w:sz w:val="32"/>
        </w:rPr>
      </w:pPr>
    </w:p>
    <w:p w14:paraId="0413BF3F">
      <w:pPr>
        <w:ind w:left="38" w:leftChars="-119" w:right="-766" w:rightChars="-319" w:hanging="324" w:hangingChars="101"/>
        <w:jc w:val="center"/>
        <w:rPr>
          <w:rFonts w:eastAsia="SimSun"/>
          <w:b/>
          <w:sz w:val="32"/>
          <w:szCs w:val="32"/>
          <w:lang w:val="ru-RU"/>
        </w:rPr>
      </w:pPr>
      <w:r>
        <w:rPr>
          <w:rFonts w:eastAsia="SimSun"/>
          <w:b/>
          <w:sz w:val="32"/>
          <w:szCs w:val="32"/>
          <w:lang w:val="ru-RU"/>
        </w:rPr>
        <w:t>ОТЧЕТ</w:t>
      </w:r>
    </w:p>
    <w:p w14:paraId="049C86B1">
      <w:pPr>
        <w:pStyle w:val="11"/>
        <w:spacing w:line="100" w:lineRule="atLeast"/>
        <w:ind w:left="-3" w:leftChars="-119" w:right="-766" w:rightChars="-319" w:hanging="283" w:hangingChars="101"/>
        <w:jc w:val="center"/>
        <w:rPr>
          <w:rFonts w:hint="default" w:eastAsia="SimSun"/>
          <w:b/>
          <w:bCs/>
          <w:spacing w:val="-10"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</w:rPr>
        <w:t>по</w:t>
      </w:r>
      <w:r>
        <w:rPr>
          <w:b/>
          <w:bCs/>
          <w:spacing w:val="28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лабораторной</w:t>
      </w:r>
      <w:r>
        <w:rPr>
          <w:b/>
          <w:bCs/>
          <w:spacing w:val="29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работе</w:t>
      </w:r>
      <w:r>
        <w:rPr>
          <w:b/>
          <w:bCs/>
          <w:spacing w:val="29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№</w:t>
      </w:r>
      <w:r>
        <w:rPr>
          <w:rFonts w:hint="eastAsia" w:eastAsiaTheme="minorEastAsia"/>
          <w:b/>
          <w:bCs/>
          <w:spacing w:val="16"/>
          <w:sz w:val="28"/>
          <w:szCs w:val="28"/>
          <w:lang w:eastAsia="zh-CN"/>
        </w:rPr>
        <w:t>.</w:t>
      </w:r>
      <w:r>
        <w:rPr>
          <w:rFonts w:hint="eastAsia" w:eastAsiaTheme="minorEastAsia"/>
          <w:b/>
          <w:bCs/>
          <w:spacing w:val="16"/>
          <w:sz w:val="28"/>
          <w:szCs w:val="28"/>
          <w:lang w:val="en-US" w:eastAsia="zh-CN"/>
        </w:rPr>
        <w:t>2</w:t>
      </w:r>
    </w:p>
    <w:p w14:paraId="388437F9">
      <w:pPr>
        <w:pStyle w:val="11"/>
        <w:spacing w:line="100" w:lineRule="atLeast"/>
        <w:ind w:left="-44" w:leftChars="-119" w:right="-766" w:rightChars="-319" w:hanging="242" w:hangingChars="101"/>
        <w:jc w:val="center"/>
        <w:rPr>
          <w:rFonts w:eastAsia="SimSun"/>
          <w:sz w:val="24"/>
          <w:szCs w:val="24"/>
          <w:lang w:eastAsia="zh-CN"/>
        </w:rPr>
      </w:pPr>
    </w:p>
    <w:p w14:paraId="750DAA60">
      <w:pPr>
        <w:pStyle w:val="11"/>
        <w:spacing w:line="100" w:lineRule="atLeast"/>
        <w:ind w:left="-43" w:leftChars="-119" w:right="-766" w:rightChars="-319" w:hanging="243" w:hangingChars="101"/>
        <w:jc w:val="center"/>
        <w:rPr>
          <w:rFonts w:eastAsia="SimSun"/>
          <w:sz w:val="24"/>
          <w:szCs w:val="24"/>
          <w:u w:val="single"/>
          <w:lang w:eastAsia="zh-CN"/>
        </w:rPr>
      </w:pPr>
      <w:r>
        <w:rPr>
          <w:rFonts w:eastAsia="SimSun"/>
          <w:b/>
          <w:bCs/>
          <w:sz w:val="24"/>
          <w:szCs w:val="24"/>
          <w:lang w:eastAsia="zh-CN"/>
        </w:rPr>
        <w:t>Дисциплина:</w:t>
      </w:r>
      <w:r>
        <w:rPr>
          <w:rFonts w:eastAsia="SimSun"/>
          <w:sz w:val="24"/>
          <w:szCs w:val="24"/>
          <w:lang w:eastAsia="zh-CN"/>
        </w:rPr>
        <w:t xml:space="preserve"> </w:t>
      </w:r>
      <w:r>
        <w:rPr>
          <w:rFonts w:eastAsia="SimSun"/>
          <w:sz w:val="24"/>
          <w:szCs w:val="24"/>
          <w:u w:val="single"/>
          <w:lang w:eastAsia="zh-CN"/>
        </w:rPr>
        <w:t>Эргатические системы</w:t>
      </w:r>
    </w:p>
    <w:p w14:paraId="284E17D1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56F478FA">
      <w:pPr>
        <w:ind w:left="64" w:leftChars="-295" w:hanging="772" w:hangingChars="322"/>
        <w:rPr>
          <w:rFonts w:ascii="Calibri" w:hAnsi="Calibri" w:eastAsia="SimSun"/>
          <w:lang w:val="ru-RU"/>
        </w:rPr>
      </w:pPr>
      <w:bookmarkStart w:id="0" w:name="_Hlk529132148"/>
    </w:p>
    <w:p w14:paraId="7BD1F6AB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40F0F4E2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76EF5831">
      <w:pPr>
        <w:ind w:left="64" w:leftChars="-295" w:right="367" w:rightChars="153" w:hanging="772" w:hangingChars="322"/>
        <w:rPr>
          <w:rFonts w:ascii="Calibri" w:hAnsi="Calibri" w:eastAsia="SimSun"/>
          <w:lang w:val="ru-RU"/>
        </w:rPr>
      </w:pPr>
    </w:p>
    <w:p w14:paraId="571744B0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32B2FB91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1769A52C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4AF24500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4B4DFDCC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0A0E4B10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tbl>
      <w:tblPr>
        <w:tblStyle w:val="17"/>
        <w:tblW w:w="6059" w:type="pct"/>
        <w:tblInd w:w="-85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2037"/>
        <w:gridCol w:w="1309"/>
        <w:gridCol w:w="2036"/>
        <w:gridCol w:w="436"/>
        <w:gridCol w:w="3056"/>
      </w:tblGrid>
      <w:tr w14:paraId="4E5B2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1625105">
            <w:pPr>
              <w:rPr>
                <w:rFonts w:eastAsia="SimSun"/>
                <w:lang w:val="ru-RU"/>
              </w:rPr>
            </w:pPr>
          </w:p>
          <w:p w14:paraId="13CB0D1A">
            <w:pPr>
              <w:rPr>
                <w:rFonts w:eastAsia="SimSun"/>
              </w:rPr>
            </w:pPr>
            <w:r>
              <w:rPr>
                <w:rFonts w:eastAsia="SimSun"/>
              </w:rPr>
              <w:t>Студент</w:t>
            </w:r>
          </w:p>
        </w:tc>
        <w:tc>
          <w:tcPr>
            <w:tcW w:w="1985" w:type="dxa"/>
            <w:tcBorders>
              <w:bottom w:val="single" w:color="auto" w:sz="4" w:space="0"/>
            </w:tcBorders>
          </w:tcPr>
          <w:p w14:paraId="6FC26194">
            <w:pPr>
              <w:rPr>
                <w:rFonts w:eastAsia="SimSun"/>
              </w:rPr>
            </w:pPr>
          </w:p>
          <w:p w14:paraId="0F266161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ИУ1И-</w:t>
            </w:r>
            <w:r>
              <w:rPr>
                <w:rFonts w:hint="eastAsia" w:eastAsia="SimSun"/>
              </w:rPr>
              <w:t>4</w:t>
            </w:r>
            <w:r>
              <w:rPr>
                <w:rFonts w:eastAsia="SimSun"/>
                <w:lang w:val="ru-RU"/>
              </w:rPr>
              <w:t>1</w:t>
            </w:r>
            <w:r>
              <w:rPr>
                <w:rFonts w:eastAsia="SimSun"/>
              </w:rPr>
              <w:t>М</w:t>
            </w:r>
          </w:p>
        </w:tc>
        <w:tc>
          <w:tcPr>
            <w:tcW w:w="1276" w:type="dxa"/>
          </w:tcPr>
          <w:p w14:paraId="4E728E65">
            <w:pPr>
              <w:rPr>
                <w:rFonts w:eastAsia="SimSun"/>
              </w:rPr>
            </w:pPr>
          </w:p>
        </w:tc>
        <w:tc>
          <w:tcPr>
            <w:tcW w:w="1984" w:type="dxa"/>
            <w:tcBorders>
              <w:bottom w:val="single" w:color="auto" w:sz="8" w:space="0"/>
            </w:tcBorders>
            <w:vAlign w:val="bottom"/>
          </w:tcPr>
          <w:p w14:paraId="1BCD8F76">
            <w:pPr>
              <w:jc w:val="right"/>
              <w:rPr>
                <w:rFonts w:eastAsia="SimSun"/>
                <w:lang w:val="ru-RU"/>
              </w:rPr>
            </w:pPr>
            <w:r>
              <w:rPr>
                <w:rFonts w:hint="eastAsia" w:eastAsia="SimSun"/>
                <w:sz w:val="20"/>
              </w:rPr>
              <w:t>31</w:t>
            </w:r>
            <w:r>
              <w:rPr>
                <w:rFonts w:eastAsia="SimSun"/>
                <w:sz w:val="20"/>
              </w:rPr>
              <w:t xml:space="preserve"> /  </w:t>
            </w:r>
            <w:r>
              <w:rPr>
                <w:rFonts w:hint="eastAsia" w:eastAsia="SimSun"/>
                <w:sz w:val="20"/>
              </w:rPr>
              <w:t>03</w:t>
            </w:r>
            <w:r>
              <w:rPr>
                <w:rFonts w:eastAsia="SimSun"/>
                <w:sz w:val="20"/>
              </w:rPr>
              <w:t xml:space="preserve">  /202</w:t>
            </w:r>
            <w:r>
              <w:rPr>
                <w:rFonts w:hint="eastAsia" w:eastAsia="SimSun"/>
                <w:sz w:val="20"/>
              </w:rPr>
              <w:t>6</w:t>
            </w:r>
          </w:p>
        </w:tc>
        <w:tc>
          <w:tcPr>
            <w:tcW w:w="425" w:type="dxa"/>
          </w:tcPr>
          <w:p w14:paraId="38056262">
            <w:pPr>
              <w:rPr>
                <w:rFonts w:eastAsia="SimSun"/>
              </w:rPr>
            </w:pPr>
          </w:p>
        </w:tc>
        <w:tc>
          <w:tcPr>
            <w:tcW w:w="2978" w:type="dxa"/>
            <w:tcBorders>
              <w:bottom w:val="single" w:color="auto" w:sz="8" w:space="0"/>
            </w:tcBorders>
          </w:tcPr>
          <w:p w14:paraId="419C0C23">
            <w:pPr>
              <w:jc w:val="center"/>
              <w:rPr>
                <w:rFonts w:eastAsia="SimSun"/>
                <w:lang w:val="ru-RU"/>
              </w:rPr>
            </w:pPr>
          </w:p>
          <w:p w14:paraId="1A8A7FF2">
            <w:pPr>
              <w:jc w:val="center"/>
              <w:rPr>
                <w:rFonts w:eastAsia="SimSun"/>
                <w:lang w:val="ru-RU"/>
              </w:rPr>
            </w:pPr>
            <w:r>
              <w:rPr>
                <w:rFonts w:eastAsia="SimSun"/>
                <w:lang w:val="ru-RU"/>
              </w:rPr>
              <w:t>Чжан Хаотянь</w:t>
            </w:r>
          </w:p>
        </w:tc>
      </w:tr>
      <w:tr w14:paraId="1FFC5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A57C5C0">
            <w:pPr>
              <w:rPr>
                <w:rFonts w:eastAsia="SimSun"/>
                <w:lang w:val="ru-RU"/>
              </w:rPr>
            </w:pPr>
          </w:p>
        </w:tc>
        <w:tc>
          <w:tcPr>
            <w:tcW w:w="1985" w:type="dxa"/>
            <w:tcBorders>
              <w:top w:val="single" w:color="auto" w:sz="4" w:space="0"/>
            </w:tcBorders>
          </w:tcPr>
          <w:p w14:paraId="344A1132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(Группа)</w:t>
            </w:r>
          </w:p>
        </w:tc>
        <w:tc>
          <w:tcPr>
            <w:tcW w:w="1276" w:type="dxa"/>
          </w:tcPr>
          <w:p w14:paraId="188278B8">
            <w:pPr>
              <w:rPr>
                <w:rFonts w:eastAsia="SimSun"/>
                <w:sz w:val="16"/>
              </w:rPr>
            </w:pPr>
          </w:p>
        </w:tc>
        <w:tc>
          <w:tcPr>
            <w:tcW w:w="1984" w:type="dxa"/>
            <w:tcBorders>
              <w:top w:val="single" w:color="auto" w:sz="8" w:space="0"/>
            </w:tcBorders>
          </w:tcPr>
          <w:p w14:paraId="605DDE3E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(Подпись, дата)</w:t>
            </w:r>
          </w:p>
        </w:tc>
        <w:tc>
          <w:tcPr>
            <w:tcW w:w="425" w:type="dxa"/>
          </w:tcPr>
          <w:p w14:paraId="0C23E198">
            <w:pPr>
              <w:rPr>
                <w:rFonts w:eastAsia="SimSun"/>
                <w:sz w:val="16"/>
              </w:rPr>
            </w:pPr>
          </w:p>
        </w:tc>
        <w:tc>
          <w:tcPr>
            <w:tcW w:w="2978" w:type="dxa"/>
            <w:tcBorders>
              <w:top w:val="single" w:color="auto" w:sz="8" w:space="0"/>
            </w:tcBorders>
          </w:tcPr>
          <w:p w14:paraId="57923B5D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(И.О. Фамилия)</w:t>
            </w:r>
          </w:p>
        </w:tc>
      </w:tr>
    </w:tbl>
    <w:p w14:paraId="2E08F647">
      <w:pPr>
        <w:rPr>
          <w:rFonts w:eastAsia="SimSun"/>
        </w:rPr>
      </w:pPr>
    </w:p>
    <w:tbl>
      <w:tblPr>
        <w:tblStyle w:val="17"/>
        <w:tblW w:w="6059" w:type="pct"/>
        <w:tblInd w:w="-85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9"/>
        <w:gridCol w:w="2036"/>
        <w:gridCol w:w="436"/>
        <w:gridCol w:w="3056"/>
      </w:tblGrid>
      <w:tr w14:paraId="611EC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8" w:type="dxa"/>
          </w:tcPr>
          <w:p w14:paraId="28DCBC04">
            <w:pPr>
              <w:rPr>
                <w:rFonts w:eastAsia="SimSun"/>
              </w:rPr>
            </w:pPr>
            <w:r>
              <w:rPr>
                <w:rFonts w:eastAsia="SimSun"/>
              </w:rPr>
              <w:t>Преподаватель</w:t>
            </w:r>
          </w:p>
        </w:tc>
        <w:tc>
          <w:tcPr>
            <w:tcW w:w="1984" w:type="dxa"/>
            <w:tcBorders>
              <w:bottom w:val="single" w:color="auto" w:sz="8" w:space="0"/>
            </w:tcBorders>
            <w:vAlign w:val="bottom"/>
          </w:tcPr>
          <w:p w14:paraId="37259E1A">
            <w:pPr>
              <w:jc w:val="right"/>
              <w:rPr>
                <w:rFonts w:eastAsia="SimSun"/>
                <w:lang w:val="ru-RU"/>
              </w:rPr>
            </w:pPr>
            <w:r>
              <w:rPr>
                <w:rFonts w:eastAsia="SimSun"/>
                <w:sz w:val="20"/>
              </w:rPr>
              <w:t xml:space="preserve"> /       /202</w:t>
            </w:r>
            <w:r>
              <w:rPr>
                <w:rFonts w:hint="eastAsia" w:eastAsia="SimSun"/>
                <w:sz w:val="20"/>
              </w:rPr>
              <w:t>6</w:t>
            </w:r>
          </w:p>
        </w:tc>
        <w:tc>
          <w:tcPr>
            <w:tcW w:w="425" w:type="dxa"/>
          </w:tcPr>
          <w:p w14:paraId="392F0B36">
            <w:pPr>
              <w:rPr>
                <w:rFonts w:eastAsia="SimSun"/>
              </w:rPr>
            </w:pPr>
          </w:p>
        </w:tc>
        <w:tc>
          <w:tcPr>
            <w:tcW w:w="2978" w:type="dxa"/>
            <w:tcBorders>
              <w:bottom w:val="single" w:color="auto" w:sz="8" w:space="0"/>
            </w:tcBorders>
          </w:tcPr>
          <w:p w14:paraId="5CCDE032">
            <w:pPr>
              <w:jc w:val="center"/>
              <w:rPr>
                <w:rFonts w:eastAsia="SimSun"/>
                <w:lang w:val="ru-RU"/>
              </w:rPr>
            </w:pPr>
            <w:r>
              <w:rPr>
                <w:rFonts w:eastAsia="SimSun"/>
                <w:lang w:val="ru-RU"/>
              </w:rPr>
              <w:t>Кучин А. С.</w:t>
            </w:r>
          </w:p>
        </w:tc>
      </w:tr>
      <w:tr w14:paraId="51C9F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8" w:type="dxa"/>
          </w:tcPr>
          <w:p w14:paraId="74A7F776">
            <w:pPr>
              <w:rPr>
                <w:rFonts w:eastAsia="SimSun"/>
                <w:lang w:val="ru-RU"/>
              </w:rPr>
            </w:pPr>
          </w:p>
        </w:tc>
        <w:tc>
          <w:tcPr>
            <w:tcW w:w="1984" w:type="dxa"/>
            <w:tcBorders>
              <w:top w:val="single" w:color="auto" w:sz="8" w:space="0"/>
            </w:tcBorders>
          </w:tcPr>
          <w:p w14:paraId="6ACD59E2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(Подпись, дата)</w:t>
            </w:r>
          </w:p>
        </w:tc>
        <w:tc>
          <w:tcPr>
            <w:tcW w:w="425" w:type="dxa"/>
          </w:tcPr>
          <w:p w14:paraId="62FE2238">
            <w:pPr>
              <w:rPr>
                <w:rFonts w:eastAsia="SimSun"/>
                <w:sz w:val="16"/>
              </w:rPr>
            </w:pPr>
          </w:p>
        </w:tc>
        <w:tc>
          <w:tcPr>
            <w:tcW w:w="2978" w:type="dxa"/>
            <w:tcBorders>
              <w:top w:val="single" w:color="auto" w:sz="8" w:space="0"/>
            </w:tcBorders>
          </w:tcPr>
          <w:p w14:paraId="4A73A692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(И.О. Фамилия)</w:t>
            </w:r>
          </w:p>
        </w:tc>
      </w:tr>
      <w:bookmarkEnd w:id="0"/>
    </w:tbl>
    <w:p w14:paraId="4CD227C8">
      <w:pPr>
        <w:widowControl/>
        <w:jc w:val="left"/>
        <w:rPr>
          <w:rFonts w:ascii="Calibri" w:hAnsi="Calibri" w:eastAsia="SimSun"/>
          <w:i/>
          <w:sz w:val="28"/>
          <w:lang w:val="ru-RU"/>
        </w:rPr>
      </w:pPr>
    </w:p>
    <w:p w14:paraId="354D1373">
      <w:pPr>
        <w:pStyle w:val="2"/>
        <w:jc w:val="center"/>
        <w:rPr>
          <w:lang w:val="ru-RU"/>
        </w:rPr>
      </w:pPr>
      <w:r>
        <w:rPr>
          <w:rFonts w:eastAsiaTheme="majorEastAsia"/>
          <w:lang w:val="ru-RU"/>
        </w:rPr>
        <w:t>1. Цель работы</w:t>
      </w:r>
    </w:p>
    <w:p w14:paraId="2CDA9A1C">
      <w:pPr>
        <w:widowControl/>
        <w:spacing w:line="360" w:lineRule="auto"/>
        <w:ind w:firstLine="240" w:firstLineChars="100"/>
        <w:jc w:val="both"/>
        <w:rPr>
          <w:rFonts w:eastAsiaTheme="minorEastAsia"/>
          <w:lang w:val="ru-RU"/>
        </w:rPr>
      </w:pPr>
      <w:r>
        <w:rPr>
          <w:rFonts w:hint="default" w:eastAsiaTheme="minorEastAsia"/>
          <w:lang w:val="ru-RU" w:eastAsia="zh-CN"/>
        </w:rPr>
        <w:t>Цель данного эксперимента — решить задачу бинарной классификации (т.е. прогнозирования состояния здоровья пациента — Healthy_Status) в анализе биомедицинских сигналов путем обработки и анализа реальных наборов данных признаков электрокардиограммы (ЭКГ).</w:t>
      </w:r>
    </w:p>
    <w:p w14:paraId="02DDCEA5">
      <w:pPr>
        <w:widowControl/>
        <w:spacing w:line="360" w:lineRule="auto"/>
        <w:ind w:left="240" w:leftChars="100" w:firstLine="0" w:firstLineChars="0"/>
        <w:rPr>
          <w:rFonts w:hint="eastAsia" w:eastAsiaTheme="minorEastAsia"/>
          <w:lang w:val="ru-RU"/>
        </w:rPr>
      </w:pPr>
      <w:r>
        <w:rPr>
          <w:rFonts w:eastAsiaTheme="minorEastAsia"/>
          <w:lang w:val="ru-RU"/>
        </w:rPr>
        <w:t>Ссылка на репозиторий Git:</w:t>
      </w:r>
      <w:r>
        <w:rPr>
          <w:rFonts w:hint="eastAsia" w:eastAsiaTheme="minorEastAsia"/>
          <w:lang w:val="ru-RU"/>
        </w:rPr>
        <w:t xml:space="preserve"> </w:t>
      </w:r>
    </w:p>
    <w:p w14:paraId="70BE9DDE">
      <w:pPr>
        <w:widowControl/>
        <w:spacing w:line="360" w:lineRule="auto"/>
        <w:ind w:left="240" w:leftChars="100" w:firstLine="0" w:firstLineChars="0"/>
        <w:rPr>
          <w:rFonts w:eastAsiaTheme="minorEastAsia"/>
          <w:lang w:val="ru-RU"/>
        </w:rPr>
      </w:pPr>
      <w:r>
        <w:rPr>
          <w:rFonts w:hint="default" w:eastAsiaTheme="minorEastAsia"/>
          <w:lang w:val="ru-RU"/>
        </w:rPr>
        <w:t>https://github.com/youbadbad2agt/Haotian-Zhang/tree/Machinelearing</w:t>
      </w:r>
    </w:p>
    <w:p w14:paraId="3678D9D6">
      <w:pPr>
        <w:widowControl/>
        <w:jc w:val="left"/>
        <w:rPr>
          <w:rFonts w:eastAsiaTheme="majorEastAsia"/>
          <w:lang w:val="ru-RU"/>
        </w:rPr>
      </w:pPr>
    </w:p>
    <w:p w14:paraId="07727589">
      <w:pPr>
        <w:pStyle w:val="2"/>
        <w:jc w:val="center"/>
        <w:rPr>
          <w:rFonts w:eastAsiaTheme="majorEastAsia"/>
          <w:lang w:val="ru-RU"/>
        </w:rPr>
      </w:pPr>
      <w:r>
        <w:rPr>
          <w:rFonts w:hint="eastAsia" w:eastAsiaTheme="majorEastAsia"/>
          <w:lang w:val="en-US" w:eastAsia="zh-CN"/>
        </w:rPr>
        <w:t>2</w:t>
      </w:r>
      <w:r>
        <w:rPr>
          <w:rFonts w:eastAsiaTheme="majorEastAsia"/>
          <w:lang w:val="ru-RU"/>
        </w:rPr>
        <w:t>.</w:t>
      </w:r>
      <w:r>
        <w:rPr>
          <w:rFonts w:hint="eastAsia" w:eastAsiaTheme="majorEastAsia"/>
          <w:lang w:val="ru-RU"/>
        </w:rPr>
        <w:t xml:space="preserve"> </w:t>
      </w:r>
      <w:r>
        <w:rPr>
          <w:rFonts w:eastAsiaTheme="majorEastAsia"/>
          <w:lang w:val="ru-RU"/>
        </w:rPr>
        <w:t>Экспериментальная процедура и</w:t>
      </w:r>
      <w:r>
        <w:rPr>
          <w:rFonts w:hint="eastAsia" w:eastAsiaTheme="majorEastAsia"/>
          <w:lang w:val="ru-RU"/>
        </w:rPr>
        <w:t xml:space="preserve"> </w:t>
      </w:r>
      <w:r>
        <w:rPr>
          <w:rFonts w:eastAsiaTheme="majorEastAsia"/>
          <w:lang w:val="ru-RU"/>
        </w:rPr>
        <w:t>анализ результатов</w:t>
      </w:r>
    </w:p>
    <w:p w14:paraId="2B7BDD94">
      <w:pPr>
        <w:pStyle w:val="3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ШАГ 1: </w:t>
      </w:r>
      <w:r>
        <w:rPr>
          <w:rFonts w:hint="default"/>
          <w:lang w:val="ru-RU"/>
        </w:rPr>
        <w:t>Анализ уменьшения размерности пространства признаков и топологическая визуализация (на основе диаграмм PCA и t-SNE)</w:t>
      </w:r>
    </w:p>
    <w:p w14:paraId="0EEFA413">
      <w:pPr>
        <w:spacing w:line="360" w:lineRule="auto"/>
        <w:ind w:firstLine="240" w:firstLineChars="100"/>
        <w:jc w:val="center"/>
        <w:rPr>
          <w:rFonts w:eastAsiaTheme="minorEastAsia"/>
        </w:rPr>
      </w:pPr>
      <w:r>
        <w:drawing>
          <wp:inline distT="0" distB="0" distL="114300" distR="114300">
            <wp:extent cx="5269865" cy="2192020"/>
            <wp:effectExtent l="0" t="0" r="3175" b="25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461F0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После нормализации многомерной матрицы признаков электрокардиограммы (ЭКГ) до нулевого среднего значения и единичной дисперсии в эксперименте использовались алгоритмы линейного уменьшения размерности (PCA) и нелинейного обучения на многообразиях (t-SNE) для двумерного проекционного анализа.</w:t>
      </w:r>
    </w:p>
    <w:p w14:paraId="2BD1E4A8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Анализ главных компонентов (PCA): Проекционный график PCA слева показывает, что данные не имеют очевидной структуры в низкоразмерном линейном пространстве. Подавляющее большинство образцов сильно кластеризованы в локальных областях, с очень небольшим количеством выбросов. Это указывает на отсутствие простых линейно разделимых границ в исходном пространстве признаков, и традиционные линейные классификаторы (такие как логистическая регрессия), вероятно, будут плохо работать на этом наборе данных.</w:t>
      </w:r>
    </w:p>
    <w:p w14:paraId="7E17BF8A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t-распределенное случайное встраивание окрестностей (t-SNE): Топологический график t-SNE справа успешно демонстрирует чрезвычайно сложную нелинейную структуру многообразия внутри данных, представляющую множество нерегулярных микрокластеров. Однако точки выборки, представляющие здоровые (1, зеленый) и нездоровые (0, синий) образцы, сильно связаны и переплетены внутри каждого кластера. [Заключение этого абзаца] Это сильное явление «перекрытия признаков» указывает на то, что набор данных ЭКГ имеет чрезвычайно высокую сложность нелинейной классификации, и необходимо использовать нелинейные алгоритмы машинного обучения с возможностями высокоразмерного отображения признаков или сложными древовидными структурами для моделирования.</w:t>
      </w:r>
    </w:p>
    <w:p w14:paraId="4C4B185D">
      <w:pPr>
        <w:pStyle w:val="3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ШАГ 2: </w:t>
      </w:r>
      <w:r>
        <w:rPr>
          <w:rFonts w:hint="default" w:eastAsiaTheme="minorEastAsia"/>
          <w:lang w:val="ru-RU"/>
        </w:rPr>
        <w:t>Результаты автоматического построения модели и оптимизации гиперпараметров</w:t>
      </w:r>
    </w:p>
    <w:p w14:paraId="3E1ECE73">
      <w:pPr>
        <w:spacing w:line="360" w:lineRule="auto"/>
        <w:ind w:firstLine="240" w:firstLineChars="100"/>
        <w:jc w:val="center"/>
        <w:rPr>
          <w:rFonts w:eastAsiaTheme="minorEastAsia"/>
          <w:lang w:val="ru-RU"/>
        </w:rPr>
      </w:pPr>
      <w:r>
        <w:drawing>
          <wp:inline distT="0" distB="0" distL="114300" distR="114300">
            <wp:extent cx="5272405" cy="1915795"/>
            <wp:effectExtent l="0" t="0" r="635" b="44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AA406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В эксперименте была представлена ​​платформа AutoGluon для сквозного моделирования AutoML. На основе выходных данных:</w:t>
      </w:r>
      <w:r>
        <w:rPr>
          <w:rFonts w:hint="eastAsia" w:eastAsiaTheme="minor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>Глобально оптимальная модель: WeightedEnsemble_L2 (взвешенная ансамблевая модель уровня L2).</w:t>
      </w:r>
    </w:p>
    <w:p w14:paraId="2C56B7D3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</w:p>
    <w:p w14:paraId="7D2B51FD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В условиях сложных нелинейных распределений данных, выявленных с помощью t-SNE, использование одного базового алгоритма обучения (например, одного дерева решений или базового KNN) перестало быть эффективным для аппроксимации сложных границ принятия решений. В конечном итоге, движок AutoML отказался от использования одной модели, выбрав вместо этого двухуровневое взвешенное объединение/ансамблирование нескольких разнородных мощных алгоритмов (таких как XGBoost, LightGBM, CatBoost и др.). Эта парадигма ансамблевого обучения эффективно интегрирует локальные преимущества представления различных алгоритмов, значительно улучшая общую способность системы к аппроксимации и верхний предел обобщения.</w:t>
      </w:r>
    </w:p>
    <w:p w14:paraId="32D5D57C">
      <w:pPr>
        <w:pStyle w:val="3"/>
        <w:rPr>
          <w:rFonts w:eastAsiaTheme="minorEastAsia"/>
          <w:lang w:val="ru-RU"/>
        </w:rPr>
      </w:pPr>
    </w:p>
    <w:p w14:paraId="555DFBE2">
      <w:pPr>
        <w:pStyle w:val="3"/>
        <w:rPr>
          <w:rFonts w:ascii="Times New Roman" w:hAnsi="Times New Roman" w:cs="Times New Roman" w:eastAsiaTheme="minorEastAsia"/>
          <w:b/>
          <w:color w:val="000000" w:themeColor="text1"/>
          <w:kern w:val="2"/>
          <w:sz w:val="24"/>
          <w:szCs w:val="28"/>
          <w:lang w:val="ru-RU" w:eastAsia="zh-CN" w:bidi="ar-SA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lang w:val="ru-RU"/>
        </w:rPr>
        <w:t>ШАГ 3:</w:t>
      </w:r>
      <w:r>
        <w:rPr>
          <w:rFonts w:hint="eastAsia" w:eastAsiaTheme="minorEastAsia"/>
          <w:lang w:val="ru-RU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color w:val="000000" w:themeColor="text1"/>
          <w:kern w:val="2"/>
          <w:sz w:val="24"/>
          <w:szCs w:val="28"/>
          <w:lang w:val="ru-RU" w:eastAsia="zh-CN" w:bidi="ar-SA"/>
          <w14:textFill>
            <w14:solidFill>
              <w14:schemeClr w14:val="tx1"/>
            </w14:solidFill>
          </w14:textFill>
        </w:rPr>
        <w:t>Оценка обобщающей способности модели и анализ матрицы ошибок (на основе матрицы ошибок и F1-меры)</w:t>
      </w:r>
    </w:p>
    <w:p w14:paraId="7A1B71E6">
      <w:pPr>
        <w:spacing w:line="360" w:lineRule="auto"/>
        <w:ind w:firstLine="240" w:firstLineChars="100"/>
        <w:jc w:val="center"/>
        <w:rPr>
          <w:rFonts w:eastAsiaTheme="minorEastAsia"/>
          <w:lang w:val="ru-RU"/>
        </w:rPr>
      </w:pPr>
      <w:r>
        <w:drawing>
          <wp:inline distT="0" distB="0" distL="114300" distR="114300">
            <wp:extent cx="5272405" cy="4306570"/>
            <wp:effectExtent l="0" t="0" r="635" b="635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173A9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На независимо отобранном тестовом наборе оптимальный классификатор, WeightedEnsemble_L2, достиг общего показателя эффективности F1-меры = 0,6396. Используя тепловую карту матрицы ошибок, мы можем провести микроанализ этого показателя:</w:t>
      </w:r>
    </w:p>
    <w:p w14:paraId="358AF621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Истинно отрицательные результаты (TN = 715): Модель правильно идентифицировала 715 образцов, относящихся к категории «нездоровые», демонстрируя чрезвычайно высокую специфичность.</w:t>
      </w:r>
    </w:p>
    <w:p w14:paraId="4109010A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Истинно положительные результаты (TP = 134): Модель правильно идентифицировала 134 здоровых образца.</w:t>
      </w:r>
    </w:p>
    <w:p w14:paraId="4FB431FC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Ложноположительные результаты (FP = 93): Это ошибка первого типа; 93 образца, которые на самом деле были «нездоровыми», были ошибочно классифицированы моделью как «здоровые».</w:t>
      </w:r>
    </w:p>
    <w:p w14:paraId="52D90BB8">
      <w:pPr>
        <w:widowControl/>
        <w:spacing w:line="360" w:lineRule="auto"/>
        <w:ind w:firstLine="480" w:firstLineChars="200"/>
        <w:jc w:val="both"/>
        <w:rPr>
          <w:rFonts w:eastAsiaTheme="minorEastAsia"/>
          <w:lang w:val="ru-RU"/>
        </w:rPr>
      </w:pPr>
      <w:r>
        <w:rPr>
          <w:rFonts w:hint="default" w:eastAsiaTheme="minorEastAsia"/>
          <w:lang w:val="en-US" w:eastAsia="zh-CN"/>
        </w:rPr>
        <w:t>Ложноотрицательный результат (FN = 58): Это ошибка второго типа, при которой 58 первоначально «здоровых» образцов ошибочно классифицируются моделью как «нездоровые».</w:t>
      </w:r>
      <w:r>
        <w:rPr>
          <w:rFonts w:hint="default" w:eastAsiaTheme="minorEastAsia"/>
          <w:lang w:val="ru-RU" w:eastAsia="zh-CN"/>
        </w:rPr>
        <w:br w:type="page"/>
      </w:r>
    </w:p>
    <w:p w14:paraId="54B44D94">
      <w:pPr>
        <w:pStyle w:val="2"/>
        <w:jc w:val="center"/>
        <w:rPr>
          <w:rFonts w:eastAsiaTheme="majorEastAsia"/>
          <w:lang w:val="ru-RU"/>
        </w:rPr>
      </w:pPr>
      <w:r>
        <w:rPr>
          <w:rFonts w:eastAsiaTheme="majorEastAsia"/>
          <w:lang w:val="ru-RU"/>
        </w:rPr>
        <w:t>4. Заключение</w:t>
      </w:r>
    </w:p>
    <w:p w14:paraId="4B707953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ru-RU" w:eastAsia="zh-CN"/>
        </w:rPr>
      </w:pPr>
      <w:bookmarkStart w:id="1" w:name="_GoBack"/>
      <w:bookmarkEnd w:id="1"/>
      <w:r>
        <w:rPr>
          <w:rFonts w:hint="default" w:eastAsiaTheme="minorEastAsia"/>
          <w:lang w:val="ru-RU" w:eastAsia="zh-CN"/>
        </w:rPr>
        <w:t>Матрица ошибок показывает, что это типичный медицинский набор данных с дисбалансом классов или искаженными априорными вероятностями (размер выборки «Нездоровые» значительно превышает размер выборки «Здоровые»).</w:t>
      </w:r>
    </w:p>
    <w:p w14:paraId="14463C72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ru-RU" w:eastAsia="zh-CN"/>
        </w:rPr>
      </w:pPr>
      <w:r>
        <w:rPr>
          <w:rFonts w:hint="default" w:eastAsiaTheme="minorEastAsia"/>
          <w:lang w:val="ru-RU" w:eastAsia="zh-CN"/>
        </w:rPr>
        <w:t>Модель демонстрирует подавляющую точность в прогнозировании класса большинства («Нездоровые»).</w:t>
      </w:r>
    </w:p>
    <w:p w14:paraId="585AFD56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ru-RU" w:eastAsia="zh-CN"/>
        </w:rPr>
      </w:pPr>
      <w:r>
        <w:rPr>
          <w:rFonts w:hint="default" w:eastAsiaTheme="minorEastAsia"/>
          <w:lang w:val="ru-RU" w:eastAsia="zh-CN"/>
        </w:rPr>
        <w:t>Для класса меньшинства («Здоровые») показатель полноты модели (Recall = 134 / (134+58) ≈ 0,698) является приемлемым, указывая на то, что она охватывает почти 70% признаков здоровья; однако ее точность (Precision = 134 / (134+93) ≈ 0,59) несколько снижена.</w:t>
      </w:r>
    </w:p>
    <w:p w14:paraId="46BB9C6A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ru-RU" w:eastAsia="zh-CN"/>
        </w:rPr>
      </w:pPr>
      <w:r>
        <w:rPr>
          <w:rFonts w:hint="default" w:eastAsiaTheme="minorEastAsia"/>
          <w:lang w:val="ru-RU" w:eastAsia="zh-CN"/>
        </w:rPr>
        <w:t>Общая оценка: Учитывая высокое перекрытие меток классов, показатель F1, равный 0,6396, объективно отражает, что модель успешно извлекла статистически значимые отличительные закономерности, значительно превосходящие уровень случайного угадывания, демонстрируя эффективность этой ансамблевой стратегии AutoML в классификации сложных биомедицинских сигналов.</w:t>
      </w:r>
    </w:p>
    <w:sectPr>
      <w:footerReference r:id="rId3" w:type="first"/>
      <w:pgSz w:w="11906" w:h="16838"/>
      <w:pgMar w:top="1440" w:right="1800" w:bottom="1440" w:left="1800" w:header="851" w:footer="992" w:gutter="0"/>
      <w:cols w:space="425" w:num="1"/>
      <w:titlePg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Google Sans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FDAAC">
    <w:pPr>
      <w:jc w:val="center"/>
      <w:rPr>
        <w:rFonts w:ascii="Calibri" w:hAnsi="Calibri" w:eastAsia="SimSun"/>
        <w:i/>
        <w:sz w:val="28"/>
      </w:rPr>
    </w:pPr>
    <w:r>
      <w:rPr>
        <w:rFonts w:ascii="Calibri" w:hAnsi="Calibri" w:eastAsia="SimSun"/>
        <w:i/>
        <w:sz w:val="28"/>
      </w:rPr>
      <w:t>202</w:t>
    </w:r>
    <w:r>
      <w:rPr>
        <w:rFonts w:hint="eastAsia" w:ascii="Calibri" w:hAnsi="Calibri" w:eastAsia="SimSun"/>
        <w:i/>
        <w:sz w:val="28"/>
        <w:lang w:val="en-GB"/>
      </w:rPr>
      <w:t>6</w:t>
    </w:r>
    <w:r>
      <w:rPr>
        <w:rFonts w:ascii="Calibri" w:hAnsi="Calibri" w:eastAsia="SimSun"/>
        <w:i/>
        <w:sz w:val="28"/>
      </w:rPr>
      <w:t xml:space="preserve"> г.</w:t>
    </w:r>
  </w:p>
  <w:p w14:paraId="1724C01E">
    <w:pPr>
      <w:pStyle w:val="1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29F"/>
    <w:rsid w:val="00066145"/>
    <w:rsid w:val="000A666E"/>
    <w:rsid w:val="00144D32"/>
    <w:rsid w:val="00176B12"/>
    <w:rsid w:val="0032439F"/>
    <w:rsid w:val="003D445D"/>
    <w:rsid w:val="00405E4D"/>
    <w:rsid w:val="00511F1E"/>
    <w:rsid w:val="00552A30"/>
    <w:rsid w:val="00576B2A"/>
    <w:rsid w:val="005A77B5"/>
    <w:rsid w:val="006302BD"/>
    <w:rsid w:val="00634549"/>
    <w:rsid w:val="00662E9F"/>
    <w:rsid w:val="006F590E"/>
    <w:rsid w:val="007A2FCB"/>
    <w:rsid w:val="007D469D"/>
    <w:rsid w:val="007F3743"/>
    <w:rsid w:val="00881025"/>
    <w:rsid w:val="008F79BB"/>
    <w:rsid w:val="00900913"/>
    <w:rsid w:val="00905E88"/>
    <w:rsid w:val="009100C5"/>
    <w:rsid w:val="00980325"/>
    <w:rsid w:val="00A2478F"/>
    <w:rsid w:val="00A410AE"/>
    <w:rsid w:val="00A624B3"/>
    <w:rsid w:val="00A65C2F"/>
    <w:rsid w:val="00A8065F"/>
    <w:rsid w:val="00AA585A"/>
    <w:rsid w:val="00AE7294"/>
    <w:rsid w:val="00B207ED"/>
    <w:rsid w:val="00BF6528"/>
    <w:rsid w:val="00C5729F"/>
    <w:rsid w:val="00DD34C3"/>
    <w:rsid w:val="00DE3E60"/>
    <w:rsid w:val="00DE6A6F"/>
    <w:rsid w:val="00FD1D77"/>
    <w:rsid w:val="06EB0BBA"/>
    <w:rsid w:val="091F2D9D"/>
    <w:rsid w:val="0A397E8E"/>
    <w:rsid w:val="1787048B"/>
    <w:rsid w:val="181D2B9D"/>
    <w:rsid w:val="20BA367F"/>
    <w:rsid w:val="225B49EE"/>
    <w:rsid w:val="23241284"/>
    <w:rsid w:val="29D4102F"/>
    <w:rsid w:val="2E032813"/>
    <w:rsid w:val="324E1E79"/>
    <w:rsid w:val="3B84690C"/>
    <w:rsid w:val="3D1837B0"/>
    <w:rsid w:val="40B57568"/>
    <w:rsid w:val="422449A5"/>
    <w:rsid w:val="47857C94"/>
    <w:rsid w:val="490638DF"/>
    <w:rsid w:val="49E113CD"/>
    <w:rsid w:val="5FF7504F"/>
    <w:rsid w:val="60A16261"/>
    <w:rsid w:val="61C86CA3"/>
    <w:rsid w:val="6A441C65"/>
    <w:rsid w:val="6CC12C6C"/>
    <w:rsid w:val="6EE63B08"/>
    <w:rsid w:val="725D0E16"/>
    <w:rsid w:val="76065B94"/>
    <w:rsid w:val="79B002F1"/>
    <w:rsid w:val="7BD8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b/>
      <w:sz w:val="28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b/>
      <w:szCs w:val="28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43"/>
    <w:qFormat/>
    <w:uiPriority w:val="1"/>
    <w:pPr>
      <w:autoSpaceDE w:val="0"/>
      <w:autoSpaceDN w:val="0"/>
      <w:jc w:val="left"/>
    </w:pPr>
    <w:rPr>
      <w:color w:val="auto"/>
      <w:kern w:val="0"/>
      <w:sz w:val="28"/>
      <w:szCs w:val="28"/>
      <w:lang w:val="ru-RU" w:eastAsia="en-US"/>
    </w:rPr>
  </w:style>
  <w:style w:type="paragraph" w:styleId="12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SimSun" w:hAnsi="SimSun" w:eastAsia="SimSun" w:cs="SimSun"/>
      <w:color w:val="auto"/>
      <w:kern w:val="0"/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semiHidden/>
    <w:unhideWhenUsed/>
    <w:uiPriority w:val="99"/>
    <w:rPr>
      <w:color w:val="0000FF"/>
      <w:u w:val="single"/>
    </w:rPr>
  </w:style>
  <w:style w:type="character" w:styleId="21">
    <w:name w:val="HTML Code"/>
    <w:basedOn w:val="19"/>
    <w:semiHidden/>
    <w:unhideWhenUsed/>
    <w:qFormat/>
    <w:uiPriority w:val="99"/>
    <w:rPr>
      <w:rFonts w:ascii="SimSun" w:hAnsi="SimSun" w:eastAsia="SimSun" w:cs="SimSun"/>
      <w:sz w:val="24"/>
      <w:szCs w:val="24"/>
    </w:rPr>
  </w:style>
  <w:style w:type="character" w:customStyle="1" w:styleId="22">
    <w:name w:val="标题 1 字符"/>
    <w:basedOn w:val="19"/>
    <w:link w:val="2"/>
    <w:uiPriority w:val="9"/>
    <w:rPr>
      <w:rFonts w:ascii="Times New Roman" w:hAnsi="Times New Roman" w:eastAsia="Times New Roman" w:cs="Times New Roman"/>
      <w:b/>
      <w:color w:val="000000" w:themeColor="text1"/>
      <w:sz w:val="28"/>
      <w:szCs w:val="44"/>
      <w14:textFill>
        <w14:solidFill>
          <w14:schemeClr w14:val="tx1"/>
        </w14:solidFill>
      </w14:textFill>
    </w:rPr>
  </w:style>
  <w:style w:type="character" w:customStyle="1" w:styleId="23">
    <w:name w:val="标题 2 字符"/>
    <w:basedOn w:val="19"/>
    <w:link w:val="3"/>
    <w:uiPriority w:val="9"/>
    <w:rPr>
      <w:rFonts w:eastAsia="Times New Roman"/>
      <w:b/>
      <w:color w:val="000000" w:themeColor="text1"/>
      <w:kern w:val="2"/>
      <w:sz w:val="24"/>
      <w:szCs w:val="28"/>
      <w14:textFill>
        <w14:solidFill>
          <w14:schemeClr w14:val="tx1"/>
        </w14:solidFill>
      </w14:textFill>
    </w:rPr>
  </w:style>
  <w:style w:type="character" w:customStyle="1" w:styleId="24">
    <w:name w:val="标题 3 字符"/>
    <w:basedOn w:val="19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标题 4 字符"/>
    <w:basedOn w:val="19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6">
    <w:name w:val="标题 5 字符"/>
    <w:basedOn w:val="19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7">
    <w:name w:val="标题 6 字符"/>
    <w:basedOn w:val="19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8">
    <w:name w:val="标题 7 字符"/>
    <w:basedOn w:val="19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9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9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9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9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19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明显引用 字符"/>
    <w:basedOn w:val="19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明显参考1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styleId="40">
    <w:name w:val="Placeholder Text"/>
    <w:basedOn w:val="19"/>
    <w:semiHidden/>
    <w:uiPriority w:val="99"/>
    <w:rPr>
      <w:color w:val="666666"/>
    </w:rPr>
  </w:style>
  <w:style w:type="character" w:customStyle="1" w:styleId="41">
    <w:name w:val="页眉 字符"/>
    <w:basedOn w:val="19"/>
    <w:link w:val="13"/>
    <w:uiPriority w:val="99"/>
    <w:rPr>
      <w:rFonts w:ascii="Times New Roman" w:hAnsi="Times New Roman" w:eastAsia="Times New Roman" w:cs="Times New Roman"/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character" w:customStyle="1" w:styleId="42">
    <w:name w:val="页脚 字符"/>
    <w:basedOn w:val="19"/>
    <w:link w:val="12"/>
    <w:uiPriority w:val="99"/>
    <w:rPr>
      <w:rFonts w:ascii="Times New Roman" w:hAnsi="Times New Roman" w:eastAsia="Times New Roman" w:cs="Times New Roman"/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character" w:customStyle="1" w:styleId="43">
    <w:name w:val="正文文本 字符"/>
    <w:basedOn w:val="19"/>
    <w:link w:val="11"/>
    <w:uiPriority w:val="1"/>
    <w:rPr>
      <w:rFonts w:ascii="Times New Roman" w:hAnsi="Times New Roman" w:eastAsia="Times New Roman" w:cs="Times New Roman"/>
      <w:kern w:val="0"/>
      <w:sz w:val="28"/>
      <w:szCs w:val="28"/>
      <w:lang w:val="ru-RU" w:eastAsia="en-US"/>
    </w:rPr>
  </w:style>
  <w:style w:type="character" w:customStyle="1" w:styleId="44">
    <w:name w:val="math-inline"/>
    <w:basedOn w:val="1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AFC2F2-3D4E-441D-8CC2-29DAFFA613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1022</Words>
  <Characters>7019</Characters>
  <Lines>51</Lines>
  <Paragraphs>14</Paragraphs>
  <TotalTime>141</TotalTime>
  <ScaleCrop>false</ScaleCrop>
  <LinksUpToDate>false</LinksUpToDate>
  <CharactersWithSpaces>7998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2025-12-24T13:02:00Z</dcterms:created>
  <dc:creator>Hi8041</dc:creator>
  <cp:lastModifiedBy>对就是我</cp:lastModifiedBy>
  <dcterms:modified xsi:type="dcterms:W3CDTF">2026-04-30T22:07:04Z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11701413F92648E7AD5271AB259A0ED2_13</vt:lpwstr>
  </property>
  <property fmtid="{D5CDD505-2E9C-101B-9397-08002B2CF9AE}" pid="4" name="KSOTemplateDocerSaveRecord">
    <vt:lpwstr>eyJoZGlkIjoiMDc4NjI3MTE1YjUwOGFlODJiZjEzMjYwZGQ1OGI5NjEiLCJ1c2VySWQiOiIzMTU3NjA1NDgifQ==</vt:lpwstr>
  </property>
</Properties>
</file>