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7"/>
        <w:tblW w:w="9782" w:type="dxa"/>
        <w:tblInd w:w="-85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8402"/>
      </w:tblGrid>
      <w:tr w14:paraId="08587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0" w:type="dxa"/>
          </w:tcPr>
          <w:p w14:paraId="687DAC7D">
            <w:pPr>
              <w:rPr>
                <w:rFonts w:ascii="Calibri" w:hAnsi="Calibri" w:eastAsia="SimSun"/>
                <w:b/>
              </w:rPr>
            </w:pPr>
            <w:r>
              <w:rPr>
                <w:rFonts w:ascii="Calibri" w:hAnsi="Calibri" w:eastAsia="SimSun"/>
                <w:lang w:eastAsia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Picture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02" w:type="dxa"/>
          </w:tcPr>
          <w:p w14:paraId="384F2614">
            <w:pPr>
              <w:spacing w:before="21" w:line="242" w:lineRule="auto"/>
              <w:ind w:left="20" w:right="18" w:firstLine="1"/>
              <w:jc w:val="center"/>
              <w:rPr>
                <w:lang w:val="ru-RU"/>
              </w:rPr>
            </w:pPr>
            <w:r>
              <w:rPr>
                <w:w w:val="105"/>
                <w:lang w:val="ru-RU"/>
              </w:rPr>
              <w:t xml:space="preserve">Министерство науки и высшего образования Российской Федерации </w:t>
            </w:r>
            <w:r>
              <w:rPr>
                <w:lang w:val="ru-RU"/>
              </w:rPr>
              <w:t>Федеральное государственное бюджетное образовательное учреждение</w:t>
            </w:r>
            <w:r>
              <w:rPr>
                <w:spacing w:val="80"/>
                <w:w w:val="105"/>
                <w:lang w:val="ru-RU"/>
              </w:rPr>
              <w:t xml:space="preserve"> </w:t>
            </w:r>
            <w:r>
              <w:rPr>
                <w:w w:val="105"/>
                <w:lang w:val="ru-RU"/>
              </w:rPr>
              <w:t>высшего образования</w:t>
            </w:r>
          </w:p>
          <w:p w14:paraId="4F74B1F8">
            <w:pPr>
              <w:spacing w:before="1" w:line="242" w:lineRule="auto"/>
              <w:ind w:left="469" w:right="508"/>
              <w:jc w:val="center"/>
              <w:rPr>
                <w:rFonts w:eastAsiaTheme="minorEastAsia"/>
                <w:spacing w:val="-2"/>
                <w:w w:val="105"/>
                <w:lang w:val="ru-RU"/>
              </w:rPr>
            </w:pPr>
            <w:r>
              <w:rPr>
                <w:spacing w:val="-2"/>
                <w:w w:val="105"/>
                <w:lang w:val="ru-RU"/>
              </w:rPr>
              <w:t>«Московский</w:t>
            </w:r>
            <w:r>
              <w:rPr>
                <w:spacing w:val="-13"/>
                <w:w w:val="105"/>
                <w:lang w:val="ru-RU"/>
              </w:rPr>
              <w:t xml:space="preserve"> </w:t>
            </w:r>
            <w:r>
              <w:rPr>
                <w:spacing w:val="-2"/>
                <w:w w:val="105"/>
                <w:lang w:val="ru-RU"/>
              </w:rPr>
              <w:t>государственный</w:t>
            </w:r>
            <w:r>
              <w:rPr>
                <w:spacing w:val="-13"/>
                <w:w w:val="105"/>
                <w:lang w:val="ru-RU"/>
              </w:rPr>
              <w:t xml:space="preserve"> </w:t>
            </w:r>
            <w:r>
              <w:rPr>
                <w:spacing w:val="-2"/>
                <w:w w:val="105"/>
                <w:lang w:val="ru-RU"/>
              </w:rPr>
              <w:t>технический</w:t>
            </w:r>
            <w:r>
              <w:rPr>
                <w:spacing w:val="-13"/>
                <w:w w:val="105"/>
                <w:lang w:val="ru-RU"/>
              </w:rPr>
              <w:t xml:space="preserve"> </w:t>
            </w:r>
            <w:r>
              <w:rPr>
                <w:spacing w:val="-2"/>
                <w:w w:val="105"/>
                <w:lang w:val="ru-RU"/>
              </w:rPr>
              <w:t xml:space="preserve">университет </w:t>
            </w:r>
          </w:p>
          <w:p w14:paraId="4ADC55BA">
            <w:pPr>
              <w:spacing w:before="1" w:line="242" w:lineRule="auto"/>
              <w:ind w:left="469" w:right="508"/>
              <w:jc w:val="center"/>
              <w:rPr>
                <w:lang w:val="ru-RU"/>
              </w:rPr>
            </w:pPr>
            <w:r>
              <w:rPr>
                <w:w w:val="105"/>
                <w:lang w:val="ru-RU"/>
              </w:rPr>
              <w:t>имени Н. Э. Баумана</w:t>
            </w:r>
          </w:p>
          <w:p w14:paraId="01D1AA39">
            <w:pPr>
              <w:spacing w:line="242" w:lineRule="auto"/>
              <w:ind w:left="840" w:right="815"/>
              <w:jc w:val="center"/>
              <w:rPr>
                <w:rFonts w:eastAsiaTheme="minorEastAsia"/>
                <w:spacing w:val="-2"/>
                <w:w w:val="105"/>
                <w:lang w:val="ru-RU"/>
              </w:rPr>
            </w:pPr>
            <w:r>
              <w:rPr>
                <w:spacing w:val="-2"/>
                <w:w w:val="105"/>
                <w:lang w:val="ru-RU"/>
              </w:rPr>
              <w:t xml:space="preserve">(национальный исследовательский университет)» </w:t>
            </w:r>
          </w:p>
          <w:p w14:paraId="637C0487">
            <w:pPr>
              <w:spacing w:line="242" w:lineRule="auto"/>
              <w:ind w:left="840" w:right="815"/>
              <w:jc w:val="center"/>
              <w:rPr>
                <w:lang w:val="ru-RU"/>
              </w:rPr>
            </w:pPr>
            <w:r>
              <w:rPr>
                <w:w w:val="105"/>
                <w:lang w:val="ru-RU"/>
              </w:rPr>
              <w:t>(МГТУ им. Н. Э. Баумана)</w:t>
            </w:r>
          </w:p>
          <w:p w14:paraId="27C69540">
            <w:pPr>
              <w:jc w:val="center"/>
              <w:rPr>
                <w:rFonts w:ascii="Calibri" w:hAnsi="Calibri" w:eastAsia="SimSun"/>
                <w:b/>
                <w:lang w:val="ru-RU"/>
              </w:rPr>
            </w:pPr>
            <w:r>
              <w:rPr>
                <w:sz w:val="20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page">
                        <wp:posOffset>-735965</wp:posOffset>
                      </wp:positionH>
                      <wp:positionV relativeFrom="page">
                        <wp:posOffset>1572895</wp:posOffset>
                      </wp:positionV>
                      <wp:extent cx="6332855" cy="49530"/>
                      <wp:effectExtent l="0" t="0" r="0" b="0"/>
                      <wp:wrapNone/>
                      <wp:docPr id="712035966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32855" cy="49530"/>
                                <a:chOff x="0" y="0"/>
                                <a:chExt cx="6332855" cy="49530"/>
                              </a:xfrm>
                            </wpg:grpSpPr>
                            <wps:wsp>
                              <wps:cNvPr id="1104451412" name="Graphic 3"/>
                              <wps:cNvSpPr/>
                              <wps:spPr>
                                <a:xfrm>
                                  <a:off x="0" y="0"/>
                                  <a:ext cx="6332855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32855" h="33020">
                                      <a:moveTo>
                                        <a:pt x="633239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397"/>
                                      </a:lnTo>
                                      <a:lnTo>
                                        <a:pt x="6332397" y="32397"/>
                                      </a:lnTo>
                                      <a:lnTo>
                                        <a:pt x="63323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238715220" name="Graphic 4"/>
                              <wps:cNvSpPr/>
                              <wps:spPr>
                                <a:xfrm>
                                  <a:off x="0" y="45669"/>
                                  <a:ext cx="63328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32855">
                                      <a:moveTo>
                                        <a:pt x="0" y="0"/>
                                      </a:moveTo>
                                      <a:lnTo>
                                        <a:pt x="6332397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" o:spid="_x0000_s1026" o:spt="203" style="position:absolute;left:0pt;margin-left:-57.95pt;margin-top:123.85pt;height:3.9pt;width:498.65pt;mso-position-horizontal-relative:page;mso-position-vertical-relative:page;z-index:-251656192;mso-width-relative:page;mso-height-relative:page;" coordsize="6332855,49530" o:gfxdata="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rSKwRtwAAAAMAQAADwAAAAAAAAABACAAAAAiAAAAZHJz&#10;L2Rvd25yZXYueG1sUEsBAhQAFAAAAAgAh07iQH+66PrkAgAAxQgAAA4AAAAAAAAAAQAgAAAAKwEA&#10;AGRycy9lMm9Eb2MueG1sUEsFBgAAAAAGAAYAWQEAAIEGAAAAAA==&#10;">
                      <o:lock v:ext="edit" aspectratio="f"/>
                      <v:shape id="Graphic 3" o:spid="_x0000_s1026" o:spt="100" style="position:absolute;left:0;top:0;height:33020;width:6332855;" fillcolor="#000000" filled="t" stroked="f" coordsize="6332855,33020" o:gfxdata="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Qwon&#10;wAAAAOMAAAAPAAAAAAAAAAEAIAAAACIAAABkcnMvZG93bnJldi54bWxQSwECFAAUAAAACACHTuJA&#10;My8FnjsAAAA5AAAAEAAAAAAAAAABACAAAAAPAQAAZHJzL3NoYXBleG1sLnhtbFBLBQYAAAAABgAG&#10;AFsBAAC5AwAAAAA=&#10;" path="m6332397,0l0,0,0,32397,6332397,32397,6332397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4" o:spid="_x0000_s1026" o:spt="100" style="position:absolute;left:0;top:45669;height:1270;width:6332855;" filled="f" stroked="t" coordsize="6332855,1" o:gfxdata="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O6&#10;6xzCAAAA4gAAAA8AAAAAAAAAAQAgAAAAIgAAAGRycy9kb3ducmV2LnhtbFBLAQIUABQAAAAIAIdO&#10;4kAzLwWeOwAAADkAAAAQAAAAAAAAAAEAIAAAABEBAABkcnMvc2hhcGV4bWwueG1sUEsFBgAAAAAG&#10;AAYAWwEAALsDAAAAAA==&#10;" path="m0,0l6332397,0e">
                        <v:fill on="f" focussize="0,0"/>
                        <v:stroke weight="0.566929133858268pt" color="#000000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</w:p>
        </w:tc>
      </w:tr>
    </w:tbl>
    <w:p w14:paraId="45379893">
      <w:pPr>
        <w:ind w:left="-708" w:leftChars="-295"/>
        <w:rPr>
          <w:rFonts w:ascii="Calibri" w:hAnsi="Calibri" w:eastAsia="SimSun"/>
          <w:lang w:val="ru-RU"/>
        </w:rPr>
      </w:pPr>
    </w:p>
    <w:tbl>
      <w:tblPr>
        <w:tblStyle w:val="17"/>
        <w:tblW w:w="10065" w:type="dxa"/>
        <w:tblInd w:w="-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8"/>
        <w:gridCol w:w="8307"/>
      </w:tblGrid>
      <w:tr w14:paraId="05160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00E525E9">
            <w:pPr>
              <w:ind w:right="89" w:rightChars="37"/>
              <w:rPr>
                <w:rFonts w:eastAsia="SimSun"/>
              </w:rPr>
            </w:pPr>
            <w:r>
              <w:rPr>
                <w:rFonts w:eastAsia="SimSun"/>
              </w:rPr>
              <w:t>ФАКУЛЬТЕТ</w:t>
            </w:r>
          </w:p>
        </w:tc>
        <w:tc>
          <w:tcPr>
            <w:tcW w:w="8307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1EBFB56">
            <w:pPr>
              <w:jc w:val="center"/>
              <w:rPr>
                <w:rFonts w:eastAsia="SimSun"/>
                <w:lang w:val="ru-RU"/>
              </w:rPr>
            </w:pPr>
            <w:r>
              <w:rPr>
                <w:rFonts w:eastAsia="SimSun"/>
                <w:lang w:val="ru-RU"/>
              </w:rPr>
              <w:t>ИУ «Информатика, искусственный интеллект и системы управления»</w:t>
            </w:r>
          </w:p>
        </w:tc>
      </w:tr>
    </w:tbl>
    <w:p w14:paraId="39DA279E">
      <w:pPr>
        <w:ind w:leftChars="-295" w:hanging="708" w:hangingChars="295"/>
        <w:rPr>
          <w:rFonts w:eastAsia="SimSun"/>
          <w:iCs/>
          <w:lang w:val="ru-RU"/>
        </w:rPr>
      </w:pPr>
    </w:p>
    <w:tbl>
      <w:tblPr>
        <w:tblStyle w:val="17"/>
        <w:tblW w:w="10065" w:type="dxa"/>
        <w:tblInd w:w="-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8366"/>
      </w:tblGrid>
      <w:tr w14:paraId="2885F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14:paraId="012EB5C3">
            <w:pPr>
              <w:rPr>
                <w:rFonts w:eastAsia="SimSun"/>
                <w:i/>
              </w:rPr>
            </w:pPr>
            <w:r>
              <w:rPr>
                <w:rFonts w:eastAsia="SimSun"/>
              </w:rPr>
              <w:t>КАФЕДРА</w:t>
            </w:r>
          </w:p>
        </w:tc>
        <w:tc>
          <w:tcPr>
            <w:tcW w:w="8366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7FFB9C0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ИУ-1 «Системы автоматического управления»</w:t>
            </w:r>
          </w:p>
        </w:tc>
      </w:tr>
    </w:tbl>
    <w:p w14:paraId="36A023DD">
      <w:pPr>
        <w:ind w:left="-1" w:leftChars="-295" w:hanging="707" w:hangingChars="221"/>
        <w:rPr>
          <w:rFonts w:ascii="Calibri" w:hAnsi="Calibri" w:eastAsia="SimSun"/>
          <w:i/>
          <w:sz w:val="32"/>
        </w:rPr>
      </w:pPr>
    </w:p>
    <w:p w14:paraId="388C93ED">
      <w:pPr>
        <w:ind w:left="-1" w:leftChars="-295" w:hanging="707" w:hangingChars="221"/>
        <w:rPr>
          <w:rFonts w:ascii="Calibri" w:hAnsi="Calibri" w:eastAsia="SimSun"/>
          <w:i/>
          <w:sz w:val="32"/>
        </w:rPr>
      </w:pPr>
    </w:p>
    <w:p w14:paraId="0413BF3F">
      <w:pPr>
        <w:ind w:left="38" w:leftChars="-119" w:right="-766" w:rightChars="-319" w:hanging="324" w:hangingChars="101"/>
        <w:jc w:val="center"/>
        <w:rPr>
          <w:rFonts w:eastAsia="SimSun"/>
          <w:b/>
          <w:sz w:val="32"/>
          <w:szCs w:val="32"/>
          <w:lang w:val="ru-RU"/>
        </w:rPr>
      </w:pPr>
      <w:r>
        <w:rPr>
          <w:rFonts w:eastAsia="SimSun"/>
          <w:b/>
          <w:sz w:val="32"/>
          <w:szCs w:val="32"/>
          <w:lang w:val="ru-RU"/>
        </w:rPr>
        <w:t>ОТЧЕТ</w:t>
      </w:r>
    </w:p>
    <w:p w14:paraId="049C86B1">
      <w:pPr>
        <w:pStyle w:val="11"/>
        <w:spacing w:line="100" w:lineRule="atLeast"/>
        <w:ind w:left="-3" w:leftChars="-119" w:right="-766" w:rightChars="-319" w:hanging="283" w:hangingChars="101"/>
        <w:jc w:val="center"/>
        <w:rPr>
          <w:rFonts w:hint="default" w:eastAsia="SimSun"/>
          <w:b/>
          <w:bCs/>
          <w:spacing w:val="-10"/>
          <w:sz w:val="28"/>
          <w:szCs w:val="28"/>
          <w:lang w:val="en-US" w:eastAsia="zh-CN"/>
        </w:rPr>
      </w:pPr>
      <w:r>
        <w:rPr>
          <w:b/>
          <w:bCs/>
          <w:sz w:val="28"/>
          <w:szCs w:val="28"/>
        </w:rPr>
        <w:t>по</w:t>
      </w:r>
      <w:r>
        <w:rPr>
          <w:b/>
          <w:bCs/>
          <w:spacing w:val="28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лабораторной</w:t>
      </w:r>
      <w:r>
        <w:rPr>
          <w:b/>
          <w:bCs/>
          <w:spacing w:val="29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работе</w:t>
      </w:r>
      <w:r>
        <w:rPr>
          <w:b/>
          <w:bCs/>
          <w:spacing w:val="29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№</w:t>
      </w:r>
      <w:r>
        <w:rPr>
          <w:rFonts w:hint="eastAsia" w:eastAsiaTheme="minorEastAsia"/>
          <w:b/>
          <w:bCs/>
          <w:spacing w:val="16"/>
          <w:sz w:val="28"/>
          <w:szCs w:val="28"/>
          <w:lang w:eastAsia="zh-CN"/>
        </w:rPr>
        <w:t>.</w:t>
      </w:r>
      <w:r>
        <w:rPr>
          <w:rFonts w:hint="eastAsia" w:eastAsiaTheme="minorEastAsia"/>
          <w:b/>
          <w:bCs/>
          <w:spacing w:val="16"/>
          <w:sz w:val="28"/>
          <w:szCs w:val="28"/>
          <w:lang w:val="en-US" w:eastAsia="zh-CN"/>
        </w:rPr>
        <w:t>3</w:t>
      </w:r>
    </w:p>
    <w:p w14:paraId="388437F9">
      <w:pPr>
        <w:pStyle w:val="11"/>
        <w:spacing w:line="100" w:lineRule="atLeast"/>
        <w:ind w:left="-44" w:leftChars="-119" w:right="-766" w:rightChars="-319" w:hanging="242" w:hangingChars="101"/>
        <w:jc w:val="center"/>
        <w:rPr>
          <w:rFonts w:eastAsia="SimSun"/>
          <w:sz w:val="24"/>
          <w:szCs w:val="24"/>
          <w:lang w:eastAsia="zh-CN"/>
        </w:rPr>
      </w:pPr>
    </w:p>
    <w:p w14:paraId="750DAA60">
      <w:pPr>
        <w:pStyle w:val="11"/>
        <w:spacing w:line="100" w:lineRule="atLeast"/>
        <w:ind w:left="-43" w:leftChars="-119" w:right="-766" w:rightChars="-319" w:hanging="243" w:hangingChars="101"/>
        <w:jc w:val="center"/>
        <w:rPr>
          <w:rFonts w:eastAsia="SimSun"/>
          <w:sz w:val="24"/>
          <w:szCs w:val="24"/>
          <w:u w:val="single"/>
          <w:lang w:eastAsia="zh-CN"/>
        </w:rPr>
      </w:pPr>
      <w:r>
        <w:rPr>
          <w:rFonts w:eastAsia="SimSun"/>
          <w:b/>
          <w:bCs/>
          <w:sz w:val="24"/>
          <w:szCs w:val="24"/>
          <w:lang w:eastAsia="zh-CN"/>
        </w:rPr>
        <w:t>Дисциплина:</w:t>
      </w:r>
      <w:r>
        <w:rPr>
          <w:rFonts w:eastAsia="SimSun"/>
          <w:sz w:val="24"/>
          <w:szCs w:val="24"/>
          <w:lang w:eastAsia="zh-CN"/>
        </w:rPr>
        <w:t xml:space="preserve"> </w:t>
      </w:r>
      <w:r>
        <w:rPr>
          <w:rFonts w:eastAsia="SimSun"/>
          <w:sz w:val="24"/>
          <w:szCs w:val="24"/>
          <w:u w:val="single"/>
          <w:lang w:eastAsia="zh-CN"/>
        </w:rPr>
        <w:t>Эргатические системы</w:t>
      </w:r>
    </w:p>
    <w:p w14:paraId="284E17D1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56F478FA">
      <w:pPr>
        <w:ind w:left="64" w:leftChars="-295" w:hanging="772" w:hangingChars="322"/>
        <w:rPr>
          <w:rFonts w:ascii="Calibri" w:hAnsi="Calibri" w:eastAsia="SimSun"/>
          <w:lang w:val="ru-RU"/>
        </w:rPr>
      </w:pPr>
      <w:bookmarkStart w:id="0" w:name="_Hlk529132148"/>
    </w:p>
    <w:p w14:paraId="7BD1F6AB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40F0F4E2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76EF5831">
      <w:pPr>
        <w:ind w:left="64" w:leftChars="-295" w:right="367" w:rightChars="153" w:hanging="772" w:hangingChars="322"/>
        <w:rPr>
          <w:rFonts w:ascii="Calibri" w:hAnsi="Calibri" w:eastAsia="SimSun"/>
          <w:lang w:val="ru-RU"/>
        </w:rPr>
      </w:pPr>
    </w:p>
    <w:p w14:paraId="571744B0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32B2FB91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1769A52C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4AF24500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4B4DFDCC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p w14:paraId="0A0E4B10">
      <w:pPr>
        <w:ind w:left="64" w:leftChars="-295" w:hanging="772" w:hangingChars="322"/>
        <w:rPr>
          <w:rFonts w:ascii="Calibri" w:hAnsi="Calibri" w:eastAsia="SimSun"/>
          <w:lang w:val="ru-RU"/>
        </w:rPr>
      </w:pPr>
    </w:p>
    <w:tbl>
      <w:tblPr>
        <w:tblStyle w:val="17"/>
        <w:tblW w:w="6059" w:type="pct"/>
        <w:tblInd w:w="-85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2037"/>
        <w:gridCol w:w="1309"/>
        <w:gridCol w:w="2036"/>
        <w:gridCol w:w="436"/>
        <w:gridCol w:w="3056"/>
      </w:tblGrid>
      <w:tr w14:paraId="4E5B2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1625105">
            <w:pPr>
              <w:rPr>
                <w:rFonts w:eastAsia="SimSun"/>
                <w:lang w:val="ru-RU"/>
              </w:rPr>
            </w:pPr>
          </w:p>
          <w:p w14:paraId="13CB0D1A">
            <w:pPr>
              <w:rPr>
                <w:rFonts w:eastAsia="SimSun"/>
              </w:rPr>
            </w:pPr>
            <w:r>
              <w:rPr>
                <w:rFonts w:eastAsia="SimSun"/>
              </w:rPr>
              <w:t>Студент</w:t>
            </w:r>
          </w:p>
        </w:tc>
        <w:tc>
          <w:tcPr>
            <w:tcW w:w="1985" w:type="dxa"/>
            <w:tcBorders>
              <w:bottom w:val="single" w:color="auto" w:sz="4" w:space="0"/>
            </w:tcBorders>
          </w:tcPr>
          <w:p w14:paraId="6FC26194">
            <w:pPr>
              <w:rPr>
                <w:rFonts w:eastAsia="SimSun"/>
              </w:rPr>
            </w:pPr>
          </w:p>
          <w:p w14:paraId="0F266161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ИУ1И-</w:t>
            </w:r>
            <w:r>
              <w:rPr>
                <w:rFonts w:hint="eastAsia" w:eastAsia="SimSun"/>
              </w:rPr>
              <w:t>4</w:t>
            </w:r>
            <w:r>
              <w:rPr>
                <w:rFonts w:eastAsia="SimSun"/>
                <w:lang w:val="ru-RU"/>
              </w:rPr>
              <w:t>1</w:t>
            </w:r>
            <w:r>
              <w:rPr>
                <w:rFonts w:eastAsia="SimSun"/>
              </w:rPr>
              <w:t>М</w:t>
            </w:r>
          </w:p>
        </w:tc>
        <w:tc>
          <w:tcPr>
            <w:tcW w:w="1276" w:type="dxa"/>
          </w:tcPr>
          <w:p w14:paraId="4E728E65">
            <w:pPr>
              <w:rPr>
                <w:rFonts w:eastAsia="SimSun"/>
              </w:rPr>
            </w:pPr>
          </w:p>
        </w:tc>
        <w:tc>
          <w:tcPr>
            <w:tcW w:w="1984" w:type="dxa"/>
            <w:tcBorders>
              <w:bottom w:val="single" w:color="auto" w:sz="8" w:space="0"/>
            </w:tcBorders>
            <w:vAlign w:val="bottom"/>
          </w:tcPr>
          <w:p w14:paraId="1BCD8F76">
            <w:pPr>
              <w:jc w:val="right"/>
              <w:rPr>
                <w:rFonts w:eastAsia="SimSun"/>
                <w:lang w:val="ru-RU"/>
              </w:rPr>
            </w:pPr>
            <w:r>
              <w:rPr>
                <w:rFonts w:hint="eastAsia" w:eastAsia="SimSun"/>
                <w:sz w:val="20"/>
              </w:rPr>
              <w:t>31</w:t>
            </w:r>
            <w:r>
              <w:rPr>
                <w:rFonts w:eastAsia="SimSun"/>
                <w:sz w:val="20"/>
              </w:rPr>
              <w:t xml:space="preserve"> /  </w:t>
            </w:r>
            <w:r>
              <w:rPr>
                <w:rFonts w:hint="eastAsia" w:eastAsia="SimSun"/>
                <w:sz w:val="20"/>
              </w:rPr>
              <w:t>03</w:t>
            </w:r>
            <w:r>
              <w:rPr>
                <w:rFonts w:eastAsia="SimSun"/>
                <w:sz w:val="20"/>
              </w:rPr>
              <w:t xml:space="preserve">  /202</w:t>
            </w:r>
            <w:r>
              <w:rPr>
                <w:rFonts w:hint="eastAsia" w:eastAsia="SimSun"/>
                <w:sz w:val="20"/>
              </w:rPr>
              <w:t>6</w:t>
            </w:r>
          </w:p>
        </w:tc>
        <w:tc>
          <w:tcPr>
            <w:tcW w:w="425" w:type="dxa"/>
          </w:tcPr>
          <w:p w14:paraId="38056262">
            <w:pPr>
              <w:rPr>
                <w:rFonts w:eastAsia="SimSun"/>
              </w:rPr>
            </w:pPr>
          </w:p>
        </w:tc>
        <w:tc>
          <w:tcPr>
            <w:tcW w:w="2978" w:type="dxa"/>
            <w:tcBorders>
              <w:bottom w:val="single" w:color="auto" w:sz="8" w:space="0"/>
            </w:tcBorders>
          </w:tcPr>
          <w:p w14:paraId="419C0C23">
            <w:pPr>
              <w:jc w:val="center"/>
              <w:rPr>
                <w:rFonts w:eastAsia="SimSun"/>
                <w:lang w:val="ru-RU"/>
              </w:rPr>
            </w:pPr>
          </w:p>
          <w:p w14:paraId="1A8A7FF2">
            <w:pPr>
              <w:jc w:val="center"/>
              <w:rPr>
                <w:rFonts w:eastAsia="SimSun"/>
                <w:lang w:val="ru-RU"/>
              </w:rPr>
            </w:pPr>
            <w:r>
              <w:rPr>
                <w:rFonts w:eastAsia="SimSun"/>
                <w:lang w:val="ru-RU"/>
              </w:rPr>
              <w:t>Чжан Хаотянь</w:t>
            </w:r>
          </w:p>
        </w:tc>
      </w:tr>
      <w:tr w14:paraId="1FFC5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A57C5C0">
            <w:pPr>
              <w:rPr>
                <w:rFonts w:eastAsia="SimSun"/>
                <w:lang w:val="ru-RU"/>
              </w:rPr>
            </w:pPr>
          </w:p>
        </w:tc>
        <w:tc>
          <w:tcPr>
            <w:tcW w:w="1985" w:type="dxa"/>
            <w:tcBorders>
              <w:top w:val="single" w:color="auto" w:sz="4" w:space="0"/>
            </w:tcBorders>
          </w:tcPr>
          <w:p w14:paraId="344A1132">
            <w:pPr>
              <w:jc w:val="center"/>
              <w:rPr>
                <w:rFonts w:eastAsia="SimSun"/>
                <w:sz w:val="16"/>
              </w:rPr>
            </w:pPr>
            <w:r>
              <w:rPr>
                <w:rFonts w:eastAsia="SimSun"/>
                <w:sz w:val="16"/>
                <w:szCs w:val="18"/>
              </w:rPr>
              <w:t>(Группа)</w:t>
            </w:r>
          </w:p>
        </w:tc>
        <w:tc>
          <w:tcPr>
            <w:tcW w:w="1276" w:type="dxa"/>
          </w:tcPr>
          <w:p w14:paraId="188278B8">
            <w:pPr>
              <w:rPr>
                <w:rFonts w:eastAsia="SimSun"/>
                <w:sz w:val="16"/>
              </w:rPr>
            </w:pPr>
          </w:p>
        </w:tc>
        <w:tc>
          <w:tcPr>
            <w:tcW w:w="1984" w:type="dxa"/>
            <w:tcBorders>
              <w:top w:val="single" w:color="auto" w:sz="8" w:space="0"/>
            </w:tcBorders>
          </w:tcPr>
          <w:p w14:paraId="605DDE3E">
            <w:pPr>
              <w:jc w:val="center"/>
              <w:rPr>
                <w:rFonts w:eastAsia="SimSun"/>
                <w:sz w:val="16"/>
              </w:rPr>
            </w:pPr>
            <w:r>
              <w:rPr>
                <w:rFonts w:eastAsia="SimSun"/>
                <w:sz w:val="16"/>
                <w:szCs w:val="18"/>
              </w:rPr>
              <w:t>(Подпись, дата)</w:t>
            </w:r>
          </w:p>
        </w:tc>
        <w:tc>
          <w:tcPr>
            <w:tcW w:w="425" w:type="dxa"/>
          </w:tcPr>
          <w:p w14:paraId="0C23E198">
            <w:pPr>
              <w:rPr>
                <w:rFonts w:eastAsia="SimSun"/>
                <w:sz w:val="16"/>
              </w:rPr>
            </w:pPr>
          </w:p>
        </w:tc>
        <w:tc>
          <w:tcPr>
            <w:tcW w:w="2978" w:type="dxa"/>
            <w:tcBorders>
              <w:top w:val="single" w:color="auto" w:sz="8" w:space="0"/>
            </w:tcBorders>
          </w:tcPr>
          <w:p w14:paraId="57923B5D">
            <w:pPr>
              <w:jc w:val="center"/>
              <w:rPr>
                <w:rFonts w:eastAsia="SimSun"/>
                <w:sz w:val="16"/>
              </w:rPr>
            </w:pPr>
            <w:r>
              <w:rPr>
                <w:rFonts w:eastAsia="SimSun"/>
                <w:sz w:val="16"/>
                <w:szCs w:val="18"/>
              </w:rPr>
              <w:t>(И.О. Фамилия)</w:t>
            </w:r>
          </w:p>
        </w:tc>
      </w:tr>
    </w:tbl>
    <w:p w14:paraId="2E08F647">
      <w:pPr>
        <w:rPr>
          <w:rFonts w:eastAsia="SimSun"/>
        </w:rPr>
      </w:pPr>
    </w:p>
    <w:tbl>
      <w:tblPr>
        <w:tblStyle w:val="17"/>
        <w:tblW w:w="6059" w:type="pct"/>
        <w:tblInd w:w="-85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9"/>
        <w:gridCol w:w="2036"/>
        <w:gridCol w:w="436"/>
        <w:gridCol w:w="3056"/>
      </w:tblGrid>
      <w:tr w14:paraId="611EC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8" w:type="dxa"/>
          </w:tcPr>
          <w:p w14:paraId="28DCBC04">
            <w:pPr>
              <w:rPr>
                <w:rFonts w:eastAsia="SimSun"/>
              </w:rPr>
            </w:pPr>
            <w:r>
              <w:rPr>
                <w:rFonts w:eastAsia="SimSun"/>
              </w:rPr>
              <w:t>Преподаватель</w:t>
            </w:r>
          </w:p>
        </w:tc>
        <w:tc>
          <w:tcPr>
            <w:tcW w:w="1984" w:type="dxa"/>
            <w:tcBorders>
              <w:bottom w:val="single" w:color="auto" w:sz="8" w:space="0"/>
            </w:tcBorders>
            <w:vAlign w:val="bottom"/>
          </w:tcPr>
          <w:p w14:paraId="37259E1A">
            <w:pPr>
              <w:jc w:val="right"/>
              <w:rPr>
                <w:rFonts w:eastAsia="SimSun"/>
                <w:lang w:val="ru-RU"/>
              </w:rPr>
            </w:pPr>
            <w:r>
              <w:rPr>
                <w:rFonts w:eastAsia="SimSun"/>
                <w:sz w:val="20"/>
              </w:rPr>
              <w:t xml:space="preserve"> /       /202</w:t>
            </w:r>
            <w:r>
              <w:rPr>
                <w:rFonts w:hint="eastAsia" w:eastAsia="SimSun"/>
                <w:sz w:val="20"/>
              </w:rPr>
              <w:t>6</w:t>
            </w:r>
          </w:p>
        </w:tc>
        <w:tc>
          <w:tcPr>
            <w:tcW w:w="425" w:type="dxa"/>
          </w:tcPr>
          <w:p w14:paraId="392F0B36">
            <w:pPr>
              <w:rPr>
                <w:rFonts w:eastAsia="SimSun"/>
              </w:rPr>
            </w:pPr>
          </w:p>
        </w:tc>
        <w:tc>
          <w:tcPr>
            <w:tcW w:w="2978" w:type="dxa"/>
            <w:tcBorders>
              <w:bottom w:val="single" w:color="auto" w:sz="8" w:space="0"/>
            </w:tcBorders>
          </w:tcPr>
          <w:p w14:paraId="5CCDE032">
            <w:pPr>
              <w:jc w:val="center"/>
              <w:rPr>
                <w:rFonts w:eastAsia="SimSun"/>
                <w:lang w:val="ru-RU"/>
              </w:rPr>
            </w:pPr>
            <w:r>
              <w:rPr>
                <w:rFonts w:eastAsia="SimSun"/>
                <w:lang w:val="ru-RU"/>
              </w:rPr>
              <w:t>Кучин А. С.</w:t>
            </w:r>
          </w:p>
        </w:tc>
      </w:tr>
      <w:tr w14:paraId="51C9F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8" w:type="dxa"/>
          </w:tcPr>
          <w:p w14:paraId="74A7F776">
            <w:pPr>
              <w:rPr>
                <w:rFonts w:eastAsia="SimSun"/>
                <w:lang w:val="ru-RU"/>
              </w:rPr>
            </w:pPr>
          </w:p>
        </w:tc>
        <w:tc>
          <w:tcPr>
            <w:tcW w:w="1984" w:type="dxa"/>
            <w:tcBorders>
              <w:top w:val="single" w:color="auto" w:sz="8" w:space="0"/>
            </w:tcBorders>
          </w:tcPr>
          <w:p w14:paraId="6ACD59E2">
            <w:pPr>
              <w:jc w:val="center"/>
              <w:rPr>
                <w:rFonts w:eastAsia="SimSun"/>
                <w:sz w:val="16"/>
              </w:rPr>
            </w:pPr>
            <w:r>
              <w:rPr>
                <w:rFonts w:eastAsia="SimSun"/>
                <w:sz w:val="16"/>
                <w:szCs w:val="18"/>
              </w:rPr>
              <w:t>(Подпись, дата)</w:t>
            </w:r>
          </w:p>
        </w:tc>
        <w:tc>
          <w:tcPr>
            <w:tcW w:w="425" w:type="dxa"/>
          </w:tcPr>
          <w:p w14:paraId="62FE2238">
            <w:pPr>
              <w:rPr>
                <w:rFonts w:eastAsia="SimSun"/>
                <w:sz w:val="16"/>
              </w:rPr>
            </w:pPr>
          </w:p>
        </w:tc>
        <w:tc>
          <w:tcPr>
            <w:tcW w:w="2978" w:type="dxa"/>
            <w:tcBorders>
              <w:top w:val="single" w:color="auto" w:sz="8" w:space="0"/>
            </w:tcBorders>
          </w:tcPr>
          <w:p w14:paraId="4A73A692">
            <w:pPr>
              <w:jc w:val="center"/>
              <w:rPr>
                <w:rFonts w:eastAsia="SimSun"/>
                <w:sz w:val="16"/>
              </w:rPr>
            </w:pPr>
            <w:r>
              <w:rPr>
                <w:rFonts w:eastAsia="SimSun"/>
                <w:sz w:val="16"/>
                <w:szCs w:val="18"/>
              </w:rPr>
              <w:t>(И.О. Фамилия)</w:t>
            </w:r>
          </w:p>
        </w:tc>
      </w:tr>
      <w:bookmarkEnd w:id="0"/>
    </w:tbl>
    <w:p w14:paraId="4CD227C8">
      <w:pPr>
        <w:widowControl/>
        <w:jc w:val="left"/>
        <w:rPr>
          <w:rFonts w:ascii="Calibri" w:hAnsi="Calibri" w:eastAsia="SimSun"/>
          <w:i/>
          <w:sz w:val="28"/>
          <w:lang w:val="ru-RU"/>
        </w:rPr>
      </w:pPr>
    </w:p>
    <w:p w14:paraId="354D1373">
      <w:pPr>
        <w:pStyle w:val="2"/>
        <w:jc w:val="center"/>
        <w:rPr>
          <w:lang w:val="ru-RU"/>
        </w:rPr>
      </w:pPr>
      <w:r>
        <w:rPr>
          <w:rFonts w:eastAsiaTheme="majorEastAsia"/>
          <w:lang w:val="ru-RU"/>
        </w:rPr>
        <w:t>1. Цель работы</w:t>
      </w:r>
    </w:p>
    <w:p w14:paraId="7AB0C864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ru-RU" w:eastAsia="zh-CN"/>
        </w:rPr>
        <w:t xml:space="preserve">Цель данного эксперимента — </w:t>
      </w:r>
      <w:r>
        <w:rPr>
          <w:rFonts w:hint="default" w:eastAsiaTheme="minorEastAsia"/>
          <w:lang w:val="en-US" w:eastAsia="zh-CN"/>
        </w:rPr>
        <w:t>Исследование скрытых характеристик сигналов электроэнцефалографии (ЭЭГ) во время эпилептического приступа с использованием методов спектрального и вейвлет-анализа.</w:t>
      </w:r>
    </w:p>
    <w:p w14:paraId="73D514B9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Эксперимент наглядно демонстрирует переход от исходного зашумленного многоканального сигнала к выделению ключевых диагностических признаков:</w:t>
      </w:r>
    </w:p>
    <w:p w14:paraId="3247B1BE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Пространственное усреднение и фильтрация: Позволяют очистить сигнал от артефактов и выделить доминирующую ритмику мозга в заданном частотном диапазоне (0-60 Гц).</w:t>
      </w:r>
    </w:p>
    <w:p w14:paraId="521C9FF6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Спектрограмма (STFT): Показывает распределение мощности сигнала по частотам во времени, подтверждая преобладание низкочастотной активности во время приступа.</w:t>
      </w:r>
    </w:p>
    <w:p w14:paraId="417D0245">
      <w:pPr>
        <w:widowControl/>
        <w:spacing w:line="360" w:lineRule="auto"/>
        <w:ind w:firstLine="480" w:firstLineChars="200"/>
        <w:jc w:val="both"/>
      </w:pPr>
      <w:r>
        <w:rPr>
          <w:rFonts w:hint="default" w:eastAsiaTheme="minorEastAsia"/>
          <w:lang w:val="en-US" w:eastAsia="zh-CN"/>
        </w:rPr>
        <w:t>Скейлограмма (CWT): Благодаря высокому частотно-временному разрешению, позволяет точно локализовать во времени высокочастотные всплески (эпилептические спайки) на фоне низкочастотной активности, что недоступно при использовании STFT.</w:t>
      </w:r>
    </w:p>
    <w:p w14:paraId="02DDCEA5">
      <w:pPr>
        <w:widowControl/>
        <w:spacing w:line="360" w:lineRule="auto"/>
        <w:ind w:firstLine="420" w:firstLineChars="0"/>
        <w:rPr>
          <w:rFonts w:hint="eastAsia" w:eastAsiaTheme="minorEastAsia"/>
          <w:lang w:val="ru-RU"/>
        </w:rPr>
      </w:pPr>
      <w:r>
        <w:rPr>
          <w:rFonts w:eastAsiaTheme="minorEastAsia"/>
          <w:lang w:val="ru-RU"/>
        </w:rPr>
        <w:t>Ссылка на репозиторий Git:</w:t>
      </w:r>
      <w:r>
        <w:rPr>
          <w:rFonts w:hint="eastAsia" w:eastAsiaTheme="minorEastAsia"/>
          <w:lang w:val="ru-RU"/>
        </w:rPr>
        <w:t xml:space="preserve"> </w:t>
      </w:r>
    </w:p>
    <w:p w14:paraId="70BE9DDE">
      <w:pPr>
        <w:widowControl/>
        <w:spacing w:line="360" w:lineRule="auto"/>
        <w:ind w:left="240" w:leftChars="100" w:firstLine="0" w:firstLineChars="0"/>
        <w:rPr>
          <w:rFonts w:eastAsiaTheme="minorEastAsia"/>
          <w:lang w:val="ru-RU"/>
        </w:rPr>
      </w:pPr>
      <w:r>
        <w:rPr>
          <w:rFonts w:hint="default" w:eastAsiaTheme="minorEastAsia"/>
          <w:lang w:val="ru-RU"/>
        </w:rPr>
        <w:t>https://github.com/youbadbad2agt/Haotian-Zhang/tree/Machinelearing</w:t>
      </w:r>
    </w:p>
    <w:p w14:paraId="3678D9D6">
      <w:pPr>
        <w:widowControl/>
        <w:jc w:val="left"/>
        <w:rPr>
          <w:rFonts w:eastAsiaTheme="majorEastAsia"/>
          <w:lang w:val="ru-RU"/>
        </w:rPr>
      </w:pPr>
    </w:p>
    <w:p w14:paraId="07727589">
      <w:pPr>
        <w:pStyle w:val="2"/>
        <w:jc w:val="center"/>
        <w:rPr>
          <w:rFonts w:eastAsiaTheme="majorEastAsia"/>
          <w:lang w:val="ru-RU"/>
        </w:rPr>
      </w:pPr>
      <w:r>
        <w:rPr>
          <w:rFonts w:hint="eastAsia" w:eastAsiaTheme="majorEastAsia"/>
          <w:lang w:val="en-US" w:eastAsia="zh-CN"/>
        </w:rPr>
        <w:t>2</w:t>
      </w:r>
      <w:r>
        <w:rPr>
          <w:rFonts w:eastAsiaTheme="majorEastAsia"/>
          <w:lang w:val="ru-RU"/>
        </w:rPr>
        <w:t>.</w:t>
      </w:r>
      <w:r>
        <w:rPr>
          <w:rFonts w:hint="eastAsia" w:eastAsiaTheme="majorEastAsia"/>
          <w:lang w:val="ru-RU"/>
        </w:rPr>
        <w:t xml:space="preserve"> </w:t>
      </w:r>
      <w:r>
        <w:rPr>
          <w:rFonts w:eastAsiaTheme="majorEastAsia"/>
          <w:lang w:val="ru-RU"/>
        </w:rPr>
        <w:t>Экспериментальная процедура и</w:t>
      </w:r>
      <w:r>
        <w:rPr>
          <w:rFonts w:hint="eastAsia" w:eastAsiaTheme="majorEastAsia"/>
          <w:lang w:val="ru-RU"/>
        </w:rPr>
        <w:t xml:space="preserve"> </w:t>
      </w:r>
      <w:r>
        <w:rPr>
          <w:rFonts w:eastAsiaTheme="majorEastAsia"/>
          <w:lang w:val="ru-RU"/>
        </w:rPr>
        <w:t>анализ результатов</w:t>
      </w:r>
    </w:p>
    <w:p w14:paraId="2B7BDD94">
      <w:pPr>
        <w:pStyle w:val="3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ШАГ 1: </w:t>
      </w:r>
      <w:r>
        <w:rPr>
          <w:rFonts w:hint="default"/>
          <w:lang w:val="ru-RU"/>
        </w:rPr>
        <w:t>Парсинг CSV и извлечение времени начала и конца приступа</w:t>
      </w:r>
    </w:p>
    <w:p w14:paraId="0EEFA413">
      <w:pPr>
        <w:spacing w:line="360" w:lineRule="auto"/>
        <w:ind w:firstLine="240" w:firstLineChars="100"/>
        <w:jc w:val="center"/>
        <w:rPr>
          <w:rFonts w:eastAsiaTheme="minorEastAsia"/>
        </w:rPr>
      </w:pPr>
      <w:r>
        <w:drawing>
          <wp:inline distT="0" distB="0" distL="114300" distR="114300">
            <wp:extent cx="5273675" cy="1393190"/>
            <wp:effectExtent l="0" t="0" r="1460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718C3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На этом этапе осуществляется физическое отображение данных обнаружения аномалий на временной оси. Выполняя разность первого порядка (np.diff) над данными в столбце 17 файла annotations_2017_C.csv, алгоритм точно определяет позиции индексов, где состояние данных претерпевает резкие изменения (от 0 до 1 и от 1 до 0). Экспериментальные результаты показывают, что алгоритм может эффективно справляться с распространенной проблемой «границы усечения» в медицинских данных (т.е. начало или конец записи находятся в острой фазе), автоматически определяя строгое временное окно интереса (ROI) для последующего частотно-временного анализа.</w:t>
      </w:r>
    </w:p>
    <w:p w14:paraId="4C389A72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en-US" w:eastAsia="zh-CN"/>
        </w:rPr>
      </w:pPr>
    </w:p>
    <w:p w14:paraId="4C4B185D">
      <w:pPr>
        <w:pStyle w:val="3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ШАГ 2: </w:t>
      </w:r>
      <w:r>
        <w:rPr>
          <w:rFonts w:hint="default" w:eastAsiaTheme="minorEastAsia"/>
          <w:lang w:val="ru-RU"/>
        </w:rPr>
        <w:t>График временной зависимости ЭЭГ в момент приступа</w:t>
      </w:r>
    </w:p>
    <w:p w14:paraId="3E1ECE73">
      <w:pPr>
        <w:spacing w:line="360" w:lineRule="auto"/>
        <w:ind w:firstLine="240" w:firstLineChars="100"/>
        <w:jc w:val="center"/>
        <w:rPr>
          <w:rFonts w:eastAsiaTheme="minorEastAsia"/>
          <w:lang w:val="ru-RU"/>
        </w:rPr>
      </w:pPr>
      <w:r>
        <w:drawing>
          <wp:inline distT="0" distB="0" distL="114300" distR="114300">
            <wp:extent cx="5273675" cy="4885690"/>
            <wp:effectExtent l="0" t="0" r="14605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8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FD572">
      <w:pPr>
        <w:pStyle w:val="3"/>
        <w:ind w:firstLine="420" w:firstLineChars="0"/>
        <w:rPr>
          <w:rFonts w:hint="default" w:ascii="Times New Roman" w:hAnsi="Times New Roman" w:cs="Times New Roman" w:eastAsiaTheme="minorEastAsia"/>
          <w:b w:val="0"/>
          <w:color w:val="000000" w:themeColor="text1"/>
          <w:kern w:val="2"/>
          <w:sz w:val="24"/>
          <w:szCs w:val="24"/>
          <w:lang w:val="ru-RU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 w:val="0"/>
          <w:color w:val="000000" w:themeColor="text1"/>
          <w:kern w:val="2"/>
          <w:sz w:val="24"/>
          <w:szCs w:val="24"/>
          <w:lang w:val="ru-RU" w:eastAsia="zh-CN" w:bidi="ar-SA"/>
          <w14:textFill>
            <w14:solidFill>
              <w14:schemeClr w14:val="tx1"/>
            </w14:solidFill>
          </w14:textFill>
        </w:rPr>
        <w:t>Описание диаграммы: На этой диаграмме показаны колебания напряжения по 20 каналам мозговой активности (Fp — префронтальный, F — лобный, C — центральный, T — височный, P — теменной, O — затылочный) и 1 каналу электрокардиограммы (ЭКГ) в течение 40-секундного временного окна.</w:t>
      </w:r>
    </w:p>
    <w:p w14:paraId="6F432C8E">
      <w:pPr>
        <w:pStyle w:val="3"/>
        <w:rPr>
          <w:rFonts w:hint="default" w:ascii="Times New Roman" w:hAnsi="Times New Roman" w:cs="Times New Roman" w:eastAsiaTheme="minorEastAsia"/>
          <w:b w:val="0"/>
          <w:color w:val="000000" w:themeColor="text1"/>
          <w:kern w:val="2"/>
          <w:sz w:val="24"/>
          <w:szCs w:val="24"/>
          <w:lang w:val="ru-RU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 w:val="0"/>
          <w:color w:val="000000" w:themeColor="text1"/>
          <w:kern w:val="2"/>
          <w:sz w:val="24"/>
          <w:szCs w:val="24"/>
          <w:lang w:val="ru-RU" w:eastAsia="zh-CN" w:bidi="ar-SA"/>
          <w14:textFill>
            <w14:solidFill>
              <w14:schemeClr w14:val="tx1"/>
            </w14:solidFill>
          </w14:textFill>
        </w:rPr>
        <w:t>Анализ характеристик:</w:t>
      </w:r>
    </w:p>
    <w:p w14:paraId="289D2FFF">
      <w:pPr>
        <w:pStyle w:val="3"/>
        <w:ind w:firstLine="420" w:firstLineChars="0"/>
        <w:rPr>
          <w:rFonts w:hint="default" w:ascii="Times New Roman" w:hAnsi="Times New Roman" w:cs="Times New Roman" w:eastAsiaTheme="minorEastAsia"/>
          <w:b w:val="0"/>
          <w:color w:val="000000" w:themeColor="text1"/>
          <w:kern w:val="2"/>
          <w:sz w:val="24"/>
          <w:szCs w:val="24"/>
          <w:lang w:val="ru-RU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 w:val="0"/>
          <w:color w:val="000000" w:themeColor="text1"/>
          <w:kern w:val="2"/>
          <w:sz w:val="24"/>
          <w:szCs w:val="24"/>
          <w:lang w:val="ru-RU" w:eastAsia="zh-CN" w:bidi="ar-SA"/>
          <w14:textFill>
            <w14:solidFill>
              <w14:schemeClr w14:val="tx1"/>
            </w14:solidFill>
          </w14:textFill>
        </w:rPr>
        <w:t>Интенсивный аномальный разряд: В течение 0–40 секунд почти все каналы ЭЭГ демонстрировали чрезвычайно высокую амплитуду и высокую плотность комплексов острых волн, спайков и медленных волн.</w:t>
      </w:r>
    </w:p>
    <w:p w14:paraId="53C3C967">
      <w:pPr>
        <w:pStyle w:val="3"/>
        <w:ind w:firstLine="420" w:firstLineChars="0"/>
        <w:rPr>
          <w:rFonts w:hint="default" w:ascii="Times New Roman" w:hAnsi="Times New Roman" w:cs="Times New Roman" w:eastAsiaTheme="minorEastAsia"/>
          <w:b w:val="0"/>
          <w:color w:val="000000" w:themeColor="text1"/>
          <w:kern w:val="2"/>
          <w:sz w:val="24"/>
          <w:szCs w:val="24"/>
          <w:lang w:val="ru-RU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 w:val="0"/>
          <w:color w:val="000000" w:themeColor="text1"/>
          <w:kern w:val="2"/>
          <w:sz w:val="24"/>
          <w:szCs w:val="24"/>
          <w:lang w:val="ru-RU" w:eastAsia="zh-CN" w:bidi="ar-SA"/>
          <w14:textFill>
            <w14:solidFill>
              <w14:schemeClr w14:val="tx1"/>
            </w14:solidFill>
          </w14:textFill>
        </w:rPr>
        <w:t>Глобальная синхронность: Формы волн по каналам показали высокую временную синхронность. Это указывает на то, что аномальная электрическая активность не ограничивалась определенной областью мозжечка, а распространялась по всему мозгу, что является типичной характеристикой генерализованных судорог или судорог с широким распространением.</w:t>
      </w:r>
    </w:p>
    <w:p w14:paraId="32D5D57C">
      <w:pPr>
        <w:pStyle w:val="3"/>
        <w:ind w:firstLine="420" w:firstLineChars="0"/>
        <w:rPr>
          <w:rFonts w:hint="default" w:ascii="Times New Roman" w:hAnsi="Times New Roman" w:cs="Times New Roman" w:eastAsiaTheme="minorEastAsia"/>
          <w:b w:val="0"/>
          <w:color w:val="000000" w:themeColor="text1"/>
          <w:kern w:val="2"/>
          <w:sz w:val="24"/>
          <w:szCs w:val="24"/>
          <w:lang w:val="ru-RU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 w:val="0"/>
          <w:color w:val="000000" w:themeColor="text1"/>
          <w:kern w:val="2"/>
          <w:sz w:val="24"/>
          <w:szCs w:val="24"/>
          <w:lang w:val="ru-RU" w:eastAsia="zh-CN" w:bidi="ar-SA"/>
          <w14:textFill>
            <w14:solidFill>
              <w14:schemeClr w14:val="tx1"/>
            </w14:solidFill>
          </w14:textFill>
        </w:rPr>
        <w:t>Канал ЭКГ: Нижний канал ЭКГ показывает регулярный ритм, демонстрируя нормальное функционирование системы записи и указывая на то, что интенсивные электрические разряды в мозге не вызвали никаких нарушений сердечного ритма.</w:t>
      </w:r>
    </w:p>
    <w:p w14:paraId="7022ED2E">
      <w:pPr>
        <w:rPr>
          <w:rFonts w:hint="default"/>
          <w:lang w:val="ru-RU" w:eastAsia="zh-CN"/>
        </w:rPr>
      </w:pPr>
    </w:p>
    <w:p w14:paraId="555DFBE2">
      <w:pPr>
        <w:pStyle w:val="3"/>
        <w:rPr>
          <w:rFonts w:ascii="Times New Roman" w:hAnsi="Times New Roman" w:cs="Times New Roman" w:eastAsiaTheme="minorEastAsia"/>
          <w:b/>
          <w:color w:val="000000" w:themeColor="text1"/>
          <w:kern w:val="2"/>
          <w:sz w:val="24"/>
          <w:szCs w:val="28"/>
          <w:lang w:val="ru-RU" w:eastAsia="zh-CN" w:bidi="ar-SA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lang w:val="ru-RU"/>
        </w:rPr>
        <w:t>ШАГ 3:</w:t>
      </w:r>
      <w:r>
        <w:rPr>
          <w:rFonts w:hint="eastAsia" w:eastAsiaTheme="minorEastAsia"/>
          <w:lang w:val="ru-RU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color w:val="000000" w:themeColor="text1"/>
          <w:kern w:val="2"/>
          <w:sz w:val="24"/>
          <w:szCs w:val="28"/>
          <w:lang w:val="ru-RU" w:eastAsia="zh-CN" w:bidi="ar-SA"/>
          <w14:textFill>
            <w14:solidFill>
              <w14:schemeClr w14:val="tx1"/>
            </w14:solidFill>
          </w14:textFill>
        </w:rPr>
        <w:t>Усреднение всех каналов и фильтрация низких частот 60 Гц</w:t>
      </w:r>
    </w:p>
    <w:p w14:paraId="48935C20">
      <w:pPr>
        <w:spacing w:line="360" w:lineRule="auto"/>
        <w:ind w:firstLine="240" w:firstLineChars="100"/>
        <w:jc w:val="both"/>
        <w:rPr>
          <w:rFonts w:hint="default" w:ascii="Times New Roman" w:hAnsi="Times New Roman" w:cs="Times New Roman" w:eastAsiaTheme="minorEastAsia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6690" cy="1831340"/>
            <wp:effectExtent l="0" t="0" r="6350" b="1270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3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SimSun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Описание диаграммы: Единичный сигнал временного ряда, полученный путем пространственного усреднения всех каналов ЭЭГ на рисунке 1 и последующего пропускания через фильтр нижних частот 60 Гц.</w:t>
      </w:r>
    </w:p>
    <w:p w14:paraId="24E5BCF7">
      <w:pPr>
        <w:pStyle w:val="3"/>
        <w:rPr>
          <w:rFonts w:hint="default" w:ascii="Times New Roman" w:hAnsi="Times New Roman" w:cs="Times New Roman" w:eastAsiaTheme="minorEastAsia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Анализ характеристик:</w:t>
      </w:r>
    </w:p>
    <w:p w14:paraId="1BC293D0">
      <w:pPr>
        <w:pStyle w:val="3"/>
        <w:ind w:firstLine="420" w:firstLineChars="0"/>
        <w:rPr>
          <w:rFonts w:hint="default" w:ascii="Times New Roman" w:hAnsi="Times New Roman" w:cs="Times New Roman" w:eastAsiaTheme="minorEastAsia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Выделение глобальных характеристик: Благодаря усреднению, случайный шум и артефакты от локальных электродов компенсируются, оставляя абсолютно доминирующую, высоко синхронизированную электрическую активность мозга.</w:t>
      </w:r>
    </w:p>
    <w:p w14:paraId="52D90BB8">
      <w:pPr>
        <w:pStyle w:val="3"/>
        <w:ind w:firstLine="420" w:firstLineChars="0"/>
        <w:rPr>
          <w:rFonts w:hint="default" w:ascii="Times New Roman" w:hAnsi="Times New Roman" w:cs="Times New Roman" w:eastAsiaTheme="minorEastAsia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Значительные осложнения типа «спайк-медленная волна»: Четко видны несколько необычно больших отрицательных (нисходящих) пиков, особенно примерно на 4 секунде, 23-24 секунде, 29-30 секунде и 36 секунде. Это наиболее энергетически концентрированные «комплексы спайк-медленная волна» во время приступа.</w:t>
      </w:r>
    </w:p>
    <w:p w14:paraId="1023DDDC">
      <w:pPr>
        <w:rPr>
          <w:rFonts w:hint="default" w:ascii="Times New Roman" w:hAnsi="Times New Roman" w:cs="Times New Roman" w:eastAsiaTheme="minorEastAsia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580FFCF">
      <w:pPr>
        <w:pStyle w:val="3"/>
        <w:rPr>
          <w:rFonts w:hint="default" w:ascii="Times New Roman" w:hAnsi="Times New Roman" w:cs="Times New Roman" w:eastAsiaTheme="minorEastAsia"/>
          <w:b/>
          <w:color w:val="000000" w:themeColor="text1"/>
          <w:kern w:val="2"/>
          <w:sz w:val="24"/>
          <w:szCs w:val="28"/>
          <w:lang w:val="ru-RU" w:eastAsia="zh-CN" w:bidi="ar-SA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lang w:val="ru-RU"/>
        </w:rPr>
        <w:t xml:space="preserve">ШАГ </w:t>
      </w:r>
      <w:r>
        <w:rPr>
          <w:rFonts w:hint="eastAsia" w:eastAsiaTheme="minorEastAsia"/>
          <w:lang w:val="en-US" w:eastAsia="zh-CN"/>
        </w:rPr>
        <w:t>4</w:t>
      </w:r>
      <w:r>
        <w:rPr>
          <w:rFonts w:eastAsiaTheme="minorEastAsia"/>
          <w:lang w:val="ru-RU"/>
        </w:rPr>
        <w:t>:</w:t>
      </w:r>
      <w:r>
        <w:rPr>
          <w:rFonts w:hint="eastAsia" w:eastAsiaTheme="minorEastAsia"/>
          <w:lang w:val="ru-RU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color w:val="000000" w:themeColor="text1"/>
          <w:kern w:val="2"/>
          <w:sz w:val="24"/>
          <w:szCs w:val="28"/>
          <w:lang w:val="ru-RU" w:eastAsia="zh-CN" w:bidi="ar-SA"/>
          <w14:textFill>
            <w14:solidFill>
              <w14:schemeClr w14:val="tx1"/>
            </w14:solidFill>
          </w14:textFill>
        </w:rPr>
        <w:t>Построение спектрограммы сигнала (STFT)</w:t>
      </w:r>
    </w:p>
    <w:p w14:paraId="37D3B878">
      <w:r>
        <w:drawing>
          <wp:inline distT="0" distB="0" distL="114300" distR="114300">
            <wp:extent cx="5264785" cy="2049145"/>
            <wp:effectExtent l="0" t="0" r="8255" b="825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BDB3C">
      <w:pPr>
        <w:ind w:firstLine="42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Описание диаграммы: Тепловая карта, построенная с использованием STFT, показывает распределение энергии (мощности) сигнала в зависимости от частоты (0-60 Гц) во времени (0-40 с). Более светлые цвета (желтый/зеленый) указывают на более высокую энергию, а более темные цвета (темно-синий) — на более низкую.</w:t>
      </w:r>
    </w:p>
    <w:p w14:paraId="3E5B2F65">
      <w:pPr>
        <w:ind w:firstLine="420" w:firstLineChars="0"/>
        <w:rPr>
          <w:rFonts w:hint="default"/>
          <w:lang w:val="ru-RU" w:eastAsia="zh-CN"/>
        </w:rPr>
      </w:pPr>
    </w:p>
    <w:p w14:paraId="05F94891"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Анализ характеристик:</w:t>
      </w:r>
    </w:p>
    <w:p w14:paraId="38770FD7">
      <w:pPr>
        <w:ind w:firstLine="42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Доминирование низких частот: Область с наиболее концентрированной энергией (самая яркая желтая полоса) прочно расположена внизу, т.е. в низкочастотной области 0-10 Гц (дельта- и тета-ритмы). Это указывает на то, что основная энергия эпилептического приступа обусловлена ​​медленными волнами большой амплитуды.</w:t>
      </w:r>
    </w:p>
    <w:p w14:paraId="0B2C5DC8">
      <w:pPr>
        <w:ind w:firstLine="42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Влияние широкополосных составляющих: Также можно увидеть несколько слабых, вертикально направленных вверх ярких «полос» (например, около 30-й секунды). Это связано с тем, что эти резкие изменения во временной области (глубокие ямки на рисунке 2) содержат широкий диапазон высокочастотных компонентов в частотной области.</w:t>
      </w:r>
    </w:p>
    <w:p w14:paraId="0BBCF368">
      <w:pPr>
        <w:rPr>
          <w:rFonts w:hint="default"/>
          <w:lang w:val="ru-RU" w:eastAsia="zh-CN"/>
        </w:rPr>
      </w:pPr>
    </w:p>
    <w:p w14:paraId="158555D8">
      <w:pPr>
        <w:ind w:firstLine="42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Ограничения: Из-за фиксированного размера окна STFT энергетические блоки на графике выглядят несколько «размытыми» (нечеткими), а время коротких высокочастотных всплесков недостаточно точное.</w:t>
      </w:r>
    </w:p>
    <w:p w14:paraId="2BE7E623">
      <w:pPr>
        <w:ind w:firstLine="420" w:firstLineChars="0"/>
        <w:rPr>
          <w:rFonts w:hint="default"/>
          <w:lang w:val="ru-RU" w:eastAsia="zh-CN"/>
        </w:rPr>
      </w:pPr>
    </w:p>
    <w:p w14:paraId="7401DFC2">
      <w:pPr>
        <w:pStyle w:val="3"/>
        <w:rPr>
          <w:rFonts w:hint="default"/>
          <w:lang w:val="ru-RU" w:eastAsia="zh-CN"/>
        </w:rPr>
      </w:pPr>
      <w:r>
        <w:rPr>
          <w:rFonts w:eastAsiaTheme="minorEastAsia"/>
          <w:lang w:val="ru-RU"/>
        </w:rPr>
        <w:t xml:space="preserve">ШАГ </w:t>
      </w:r>
      <w:r>
        <w:rPr>
          <w:rFonts w:hint="eastAsia" w:eastAsiaTheme="minorEastAsia"/>
          <w:lang w:val="en-US" w:eastAsia="zh-CN"/>
        </w:rPr>
        <w:t>5</w:t>
      </w:r>
      <w:r>
        <w:rPr>
          <w:rFonts w:eastAsiaTheme="minorEastAsia"/>
          <w:lang w:val="ru-RU"/>
        </w:rPr>
        <w:t>:</w:t>
      </w:r>
      <w:r>
        <w:rPr>
          <w:rFonts w:hint="eastAsia" w:eastAsiaTheme="minorEastAsia"/>
          <w:lang w:val="ru-RU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color w:val="000000" w:themeColor="text1"/>
          <w:kern w:val="2"/>
          <w:sz w:val="24"/>
          <w:szCs w:val="28"/>
          <w:lang w:val="ru-RU" w:eastAsia="zh-CN" w:bidi="ar-SA"/>
          <w14:textFill>
            <w14:solidFill>
              <w14:schemeClr w14:val="tx1"/>
            </w14:solidFill>
          </w14:textFill>
        </w:rPr>
        <w:t>Вейвлет-преобразование (Скейлограмма)</w:t>
      </w:r>
    </w:p>
    <w:p w14:paraId="12B8087D">
      <w:pPr>
        <w:ind w:firstLine="420" w:firstLineChars="0"/>
        <w:rPr>
          <w:rFonts w:hint="default"/>
          <w:lang w:val="ru-RU" w:eastAsia="zh-CN"/>
        </w:rPr>
      </w:pPr>
    </w:p>
    <w:p w14:paraId="68DC5385">
      <w:pPr>
        <w:ind w:firstLine="420" w:firstLineChars="0"/>
      </w:pPr>
      <w:r>
        <w:drawing>
          <wp:inline distT="0" distB="0" distL="114300" distR="114300">
            <wp:extent cx="5273040" cy="2181860"/>
            <wp:effectExtent l="0" t="0" r="0" b="1270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EB185">
      <w:pPr>
        <w:ind w:firstLine="42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Описание диаграммы: График частотно-временной зависимости высокого разрешения, построенный с использованием вейвлет-преобразования. Чем краснее/желтее цвет, тем выше мощность вейвлет-коэффициентов.</w:t>
      </w:r>
    </w:p>
    <w:p w14:paraId="36AF4BA3">
      <w:pPr>
        <w:ind w:firstLine="420" w:firstLineChars="0"/>
        <w:rPr>
          <w:rFonts w:hint="default"/>
          <w:lang w:val="ru-RU" w:eastAsia="zh-CN"/>
        </w:rPr>
      </w:pPr>
    </w:p>
    <w:p w14:paraId="16BEF958"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Анализ характеристик:</w:t>
      </w:r>
    </w:p>
    <w:p w14:paraId="741AD6EC">
      <w:pPr>
        <w:ind w:firstLine="42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Чрезвычайно высокое временное разрешение: По сравнению с размытостью рисунка 3, на рисунке 4 представлены очень четкие энергетические полосы в форме «пламя».</w:t>
      </w:r>
    </w:p>
    <w:p w14:paraId="65523B95">
      <w:pPr>
        <w:ind w:firstLine="42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Точное определение моментов разряда: Совместите вершины «красно-желтых пламен» на рисунке 4 с «глубокими ямками» на рисунке 2! Примерно на 4, 14, 17, 24 и 31 секундах красные и желтые высокоэнергетические области мгновенно «распространяются» из низкочастотной области внизу в высокочастотную область выше 20 Гц или даже 40 Гц.</w:t>
      </w:r>
    </w:p>
    <w:p w14:paraId="365699DA">
      <w:pPr>
        <w:ind w:firstLine="420" w:firstLineChars="0"/>
        <w:jc w:val="both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Значение: Это прекрасно демонстрирует преимущества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ru-RU" w:eastAsia="zh-CN"/>
        </w:rPr>
        <w:t>вейвлет-преобразования — при анализе таких нестационарных, внезапных медицинских сигналов оно позволяет четко видеть низкочастотный фон (яркие пятна на большом синем фоне) и точно, подобно скальпелю, выделять абсолютные временные точки высокочастотных всплесков.</w:t>
      </w:r>
    </w:p>
    <w:p w14:paraId="37F3BB31">
      <w:pPr>
        <w:pStyle w:val="2"/>
        <w:jc w:val="both"/>
        <w:rPr>
          <w:rFonts w:eastAsiaTheme="majorEastAsia"/>
          <w:lang w:val="ru-RU"/>
        </w:rPr>
      </w:pPr>
    </w:p>
    <w:p w14:paraId="12DBAA9A">
      <w:pPr>
        <w:pStyle w:val="2"/>
        <w:jc w:val="center"/>
        <w:rPr>
          <w:rFonts w:hint="default"/>
          <w:lang w:val="ru-RU" w:eastAsia="zh-CN"/>
        </w:rPr>
      </w:pPr>
      <w:r>
        <w:rPr>
          <w:rFonts w:eastAsiaTheme="majorEastAsia"/>
          <w:lang w:val="ru-RU"/>
        </w:rPr>
        <w:t>4. Заключение</w:t>
      </w:r>
    </w:p>
    <w:p w14:paraId="77EDFBAA">
      <w:pPr>
        <w:ind w:firstLine="42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Успешная локализация патологической активности: Использование данных аннотации (файла CSV) позволило с высокой точностью локализовать временные рамки эпилептического приступа в исходной записи ЭЭГ, что критически важно для целенаправленного анализа больших объемов медицинских данных.</w:t>
      </w:r>
    </w:p>
    <w:p w14:paraId="7EBECAB1">
      <w:pPr>
        <w:ind w:firstLine="42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Эффективность предварительной обработки: Пространственное усреднение многоканальных данных и применение низкочастотной фильтрации (до 60 Гц) оказались эффективными методами выделения глобальной патологической активности мозга, минимизируя влияние локальных артефактов и высокочастотного шума. Очищенный сигнал стал надежной основой для дальнейшего частотно-временного анализа.</w:t>
      </w:r>
    </w:p>
    <w:p w14:paraId="50069B28">
      <w:pPr>
        <w:ind w:firstLine="42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Ограничения оконного преобразования Фурье (STFT): Спектрограмма, построенная на основе STFT, успешно продемонстрировала общее увеличение мощности в низкочастотных диапазонах во время приступа. Однако из-за фиксированного размера окна анализ выявил недостаточную детализацию при попытке одновременного отслеживания высокочастотных компонентов с высоким временным разрешением и низкочастотных с высоким частотным разрешением.</w:t>
      </w:r>
    </w:p>
    <w:p w14:paraId="5CC30C5C">
      <w:pPr>
        <w:ind w:firstLine="42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Преимущества вейвлет-анализа (CWT) для ЭЭГ: Скейлограмма, полученная с помощью непрерывного вейвлет-преобразования (CWT) с использованием комплексного вейвлета Морле, продемонстрировала значительное превосходство над STFT в анализе нестационарных биомедицинских сигналов. CWT позволило выявить тонкую внутреннюю структуру приступа: четко локализовать во времени резкие высокочастотные разряды (эпилептические спайки) и одновременно отследить эволюцию доминирующих медленноволновых ритмов.</w:t>
      </w:r>
      <w:bookmarkStart w:id="1" w:name="_GoBack"/>
      <w:bookmarkEnd w:id="1"/>
    </w:p>
    <w:p w14:paraId="55A32FAD">
      <w:pPr>
        <w:ind w:firstLine="420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Общий вывод: Совместное применение методов цифровой фильтрации, спектрального (STFT) и вейвлет-анализа (CWT) является мощным инструментом для глубокого исследования скрытых характеристик сигналов ЭЭГ. Вейвлет-преобразование, благодаря своему адаптивному частотно-временному разрешению, показало себя как наиболее информативный метод для выявления и визуализации сложных паттернов эпилептической активности.</w:t>
      </w:r>
    </w:p>
    <w:p w14:paraId="46BB9C6A">
      <w:pPr>
        <w:widowControl/>
        <w:spacing w:line="360" w:lineRule="auto"/>
        <w:ind w:firstLine="480" w:firstLineChars="200"/>
        <w:jc w:val="both"/>
        <w:rPr>
          <w:rFonts w:hint="default" w:eastAsiaTheme="minorEastAsia"/>
          <w:lang w:val="ru-RU" w:eastAsia="zh-CN"/>
        </w:rPr>
      </w:pPr>
    </w:p>
    <w:sectPr>
      <w:footerReference r:id="rId3" w:type="first"/>
      <w:pgSz w:w="11906" w:h="16838"/>
      <w:pgMar w:top="1440" w:right="1800" w:bottom="1440" w:left="1800" w:header="851" w:footer="992" w:gutter="0"/>
      <w:cols w:space="425" w:num="1"/>
      <w:titlePg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FDAAC">
    <w:pPr>
      <w:jc w:val="center"/>
      <w:rPr>
        <w:rFonts w:ascii="Calibri" w:hAnsi="Calibri" w:eastAsia="SimSun"/>
        <w:i/>
        <w:sz w:val="28"/>
      </w:rPr>
    </w:pPr>
    <w:r>
      <w:rPr>
        <w:rFonts w:ascii="Calibri" w:hAnsi="Calibri" w:eastAsia="SimSun"/>
        <w:i/>
        <w:sz w:val="28"/>
      </w:rPr>
      <w:t>202</w:t>
    </w:r>
    <w:r>
      <w:rPr>
        <w:rFonts w:hint="eastAsia" w:ascii="Calibri" w:hAnsi="Calibri" w:eastAsia="SimSun"/>
        <w:i/>
        <w:sz w:val="28"/>
        <w:lang w:val="en-GB"/>
      </w:rPr>
      <w:t>6</w:t>
    </w:r>
    <w:r>
      <w:rPr>
        <w:rFonts w:ascii="Calibri" w:hAnsi="Calibri" w:eastAsia="SimSun"/>
        <w:i/>
        <w:sz w:val="28"/>
      </w:rPr>
      <w:t xml:space="preserve"> г.</w:t>
    </w:r>
  </w:p>
  <w:p w14:paraId="1724C01E">
    <w:pPr>
      <w:pStyle w:val="1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29F"/>
    <w:rsid w:val="00066145"/>
    <w:rsid w:val="000A666E"/>
    <w:rsid w:val="00144D32"/>
    <w:rsid w:val="00176B12"/>
    <w:rsid w:val="0032439F"/>
    <w:rsid w:val="003D445D"/>
    <w:rsid w:val="00405E4D"/>
    <w:rsid w:val="00511F1E"/>
    <w:rsid w:val="00552A30"/>
    <w:rsid w:val="00576B2A"/>
    <w:rsid w:val="005A77B5"/>
    <w:rsid w:val="006302BD"/>
    <w:rsid w:val="00634549"/>
    <w:rsid w:val="00662E9F"/>
    <w:rsid w:val="006F590E"/>
    <w:rsid w:val="007A2FCB"/>
    <w:rsid w:val="007D469D"/>
    <w:rsid w:val="007F3743"/>
    <w:rsid w:val="00881025"/>
    <w:rsid w:val="008F79BB"/>
    <w:rsid w:val="00900913"/>
    <w:rsid w:val="00905E88"/>
    <w:rsid w:val="009100C5"/>
    <w:rsid w:val="00980325"/>
    <w:rsid w:val="00A2478F"/>
    <w:rsid w:val="00A410AE"/>
    <w:rsid w:val="00A624B3"/>
    <w:rsid w:val="00A65C2F"/>
    <w:rsid w:val="00A8065F"/>
    <w:rsid w:val="00AA585A"/>
    <w:rsid w:val="00AE7294"/>
    <w:rsid w:val="00B207ED"/>
    <w:rsid w:val="00BF6528"/>
    <w:rsid w:val="00C5729F"/>
    <w:rsid w:val="00DD34C3"/>
    <w:rsid w:val="00DE3E60"/>
    <w:rsid w:val="00DE6A6F"/>
    <w:rsid w:val="00FD1D77"/>
    <w:rsid w:val="06EB0BBA"/>
    <w:rsid w:val="091F2D9D"/>
    <w:rsid w:val="0A397E8E"/>
    <w:rsid w:val="1787048B"/>
    <w:rsid w:val="181D2B9D"/>
    <w:rsid w:val="20BA367F"/>
    <w:rsid w:val="225B49EE"/>
    <w:rsid w:val="23241284"/>
    <w:rsid w:val="29D4102F"/>
    <w:rsid w:val="2E032813"/>
    <w:rsid w:val="324E1E79"/>
    <w:rsid w:val="3B84690C"/>
    <w:rsid w:val="3D1837B0"/>
    <w:rsid w:val="40B57568"/>
    <w:rsid w:val="422449A5"/>
    <w:rsid w:val="47857C94"/>
    <w:rsid w:val="490638DF"/>
    <w:rsid w:val="49E113CD"/>
    <w:rsid w:val="5FF7504F"/>
    <w:rsid w:val="60A16261"/>
    <w:rsid w:val="61C86CA3"/>
    <w:rsid w:val="65A33DFF"/>
    <w:rsid w:val="6A441C65"/>
    <w:rsid w:val="6CC12C6C"/>
    <w:rsid w:val="6EE63B08"/>
    <w:rsid w:val="725D0E16"/>
    <w:rsid w:val="76065B94"/>
    <w:rsid w:val="79B002F1"/>
    <w:rsid w:val="7BD8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color w:val="000000" w:themeColor="text1"/>
      <w:kern w:val="2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b/>
      <w:sz w:val="28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60" w:after="80"/>
      <w:outlineLvl w:val="1"/>
    </w:pPr>
    <w:rPr>
      <w:b/>
      <w:szCs w:val="28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43"/>
    <w:qFormat/>
    <w:uiPriority w:val="1"/>
    <w:pPr>
      <w:autoSpaceDE w:val="0"/>
      <w:autoSpaceDN w:val="0"/>
      <w:jc w:val="left"/>
    </w:pPr>
    <w:rPr>
      <w:color w:val="auto"/>
      <w:kern w:val="0"/>
      <w:sz w:val="28"/>
      <w:szCs w:val="28"/>
      <w:lang w:val="ru-RU" w:eastAsia="en-US"/>
    </w:rPr>
  </w:style>
  <w:style w:type="paragraph" w:styleId="12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SimSun" w:hAnsi="SimSun" w:eastAsia="SimSun" w:cs="SimSun"/>
      <w:color w:val="auto"/>
      <w:kern w:val="0"/>
    </w:rPr>
  </w:style>
  <w:style w:type="paragraph" w:styleId="16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8">
    <w:name w:val="Table Grid"/>
    <w:basedOn w:val="1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Hyperlink"/>
    <w:basedOn w:val="19"/>
    <w:semiHidden/>
    <w:unhideWhenUsed/>
    <w:uiPriority w:val="99"/>
    <w:rPr>
      <w:color w:val="0000FF"/>
      <w:u w:val="single"/>
    </w:rPr>
  </w:style>
  <w:style w:type="character" w:styleId="21">
    <w:name w:val="HTML Code"/>
    <w:basedOn w:val="19"/>
    <w:semiHidden/>
    <w:unhideWhenUsed/>
    <w:qFormat/>
    <w:uiPriority w:val="99"/>
    <w:rPr>
      <w:rFonts w:ascii="SimSun" w:hAnsi="SimSun" w:eastAsia="SimSun" w:cs="SimSun"/>
      <w:sz w:val="24"/>
      <w:szCs w:val="24"/>
    </w:rPr>
  </w:style>
  <w:style w:type="character" w:customStyle="1" w:styleId="22">
    <w:name w:val="标题 1 字符"/>
    <w:basedOn w:val="19"/>
    <w:link w:val="2"/>
    <w:uiPriority w:val="9"/>
    <w:rPr>
      <w:rFonts w:ascii="Times New Roman" w:hAnsi="Times New Roman" w:eastAsia="Times New Roman" w:cs="Times New Roman"/>
      <w:b/>
      <w:color w:val="000000" w:themeColor="text1"/>
      <w:sz w:val="28"/>
      <w:szCs w:val="44"/>
      <w14:textFill>
        <w14:solidFill>
          <w14:schemeClr w14:val="tx1"/>
        </w14:solidFill>
      </w14:textFill>
    </w:rPr>
  </w:style>
  <w:style w:type="character" w:customStyle="1" w:styleId="23">
    <w:name w:val="标题 2 字符"/>
    <w:basedOn w:val="19"/>
    <w:link w:val="3"/>
    <w:uiPriority w:val="9"/>
    <w:rPr>
      <w:rFonts w:eastAsia="Times New Roman"/>
      <w:b/>
      <w:color w:val="000000" w:themeColor="text1"/>
      <w:kern w:val="2"/>
      <w:sz w:val="24"/>
      <w:szCs w:val="28"/>
      <w14:textFill>
        <w14:solidFill>
          <w14:schemeClr w14:val="tx1"/>
        </w14:solidFill>
      </w14:textFill>
    </w:rPr>
  </w:style>
  <w:style w:type="character" w:customStyle="1" w:styleId="24">
    <w:name w:val="标题 3 字符"/>
    <w:basedOn w:val="19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标题 4 字符"/>
    <w:basedOn w:val="19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6">
    <w:name w:val="标题 5 字符"/>
    <w:basedOn w:val="19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7">
    <w:name w:val="标题 6 字符"/>
    <w:basedOn w:val="19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8">
    <w:name w:val="标题 7 字符"/>
    <w:basedOn w:val="19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19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19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19"/>
    <w:link w:val="14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19"/>
    <w:link w:val="3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19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明显引用 字符"/>
    <w:basedOn w:val="19"/>
    <w:link w:val="37"/>
    <w:uiPriority w:val="30"/>
    <w:rPr>
      <w:i/>
      <w:iCs/>
      <w:color w:val="104862" w:themeColor="accent1" w:themeShade="BF"/>
    </w:rPr>
  </w:style>
  <w:style w:type="character" w:customStyle="1" w:styleId="39">
    <w:name w:val="明显参考1"/>
    <w:basedOn w:val="19"/>
    <w:qFormat/>
    <w:uiPriority w:val="32"/>
    <w:rPr>
      <w:b/>
      <w:bCs/>
      <w:smallCaps/>
      <w:color w:val="104862" w:themeColor="accent1" w:themeShade="BF"/>
      <w:spacing w:val="5"/>
    </w:rPr>
  </w:style>
  <w:style w:type="character" w:styleId="40">
    <w:name w:val="Placeholder Text"/>
    <w:basedOn w:val="19"/>
    <w:semiHidden/>
    <w:uiPriority w:val="99"/>
    <w:rPr>
      <w:color w:val="666666"/>
    </w:rPr>
  </w:style>
  <w:style w:type="character" w:customStyle="1" w:styleId="41">
    <w:name w:val="页眉 字符"/>
    <w:basedOn w:val="19"/>
    <w:link w:val="13"/>
    <w:uiPriority w:val="99"/>
    <w:rPr>
      <w:rFonts w:ascii="Times New Roman" w:hAnsi="Times New Roman" w:eastAsia="Times New Roman" w:cs="Times New Roman"/>
      <w:color w:val="000000" w:themeColor="text1"/>
      <w:sz w:val="18"/>
      <w:szCs w:val="18"/>
      <w14:textFill>
        <w14:solidFill>
          <w14:schemeClr w14:val="tx1"/>
        </w14:solidFill>
      </w14:textFill>
    </w:rPr>
  </w:style>
  <w:style w:type="character" w:customStyle="1" w:styleId="42">
    <w:name w:val="页脚 字符"/>
    <w:basedOn w:val="19"/>
    <w:link w:val="12"/>
    <w:uiPriority w:val="99"/>
    <w:rPr>
      <w:rFonts w:ascii="Times New Roman" w:hAnsi="Times New Roman" w:eastAsia="Times New Roman" w:cs="Times New Roman"/>
      <w:color w:val="000000" w:themeColor="text1"/>
      <w:sz w:val="18"/>
      <w:szCs w:val="18"/>
      <w14:textFill>
        <w14:solidFill>
          <w14:schemeClr w14:val="tx1"/>
        </w14:solidFill>
      </w14:textFill>
    </w:rPr>
  </w:style>
  <w:style w:type="character" w:customStyle="1" w:styleId="43">
    <w:name w:val="正文文本 字符"/>
    <w:basedOn w:val="19"/>
    <w:link w:val="11"/>
    <w:uiPriority w:val="1"/>
    <w:rPr>
      <w:rFonts w:ascii="Times New Roman" w:hAnsi="Times New Roman" w:eastAsia="Times New Roman" w:cs="Times New Roman"/>
      <w:kern w:val="0"/>
      <w:sz w:val="28"/>
      <w:szCs w:val="28"/>
      <w:lang w:val="ru-RU" w:eastAsia="en-US"/>
    </w:rPr>
  </w:style>
  <w:style w:type="character" w:customStyle="1" w:styleId="44">
    <w:name w:val="math-inline"/>
    <w:basedOn w:val="19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AFC2F2-3D4E-441D-8CC2-29DAFFA613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643</Words>
  <Characters>4935</Characters>
  <Lines>51</Lines>
  <Paragraphs>14</Paragraphs>
  <TotalTime>29</TotalTime>
  <ScaleCrop>false</ScaleCrop>
  <LinksUpToDate>false</LinksUpToDate>
  <CharactersWithSpaces>5543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2025-12-24T13:02:00Z</dcterms:created>
  <dc:creator>Hi8041</dc:creator>
  <cp:lastModifiedBy>对就是我</cp:lastModifiedBy>
  <dcterms:modified xsi:type="dcterms:W3CDTF">2026-05-01T18:35:27Z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11701413F92648E7AD5271AB259A0ED2_13</vt:lpwstr>
  </property>
  <property fmtid="{D5CDD505-2E9C-101B-9397-08002B2CF9AE}" pid="4" name="KSOTemplateDocerSaveRecord">
    <vt:lpwstr>eyJoZGlkIjoiMDc4NjI3MTE1YjUwOGFlODJiZjEzMjYwZGQ1OGI5NjEiLCJ1c2VySWQiOiIzMTU3NjA1NDgifQ==</vt:lpwstr>
  </property>
</Properties>
</file>