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7"/>
        <w:tblW w:w="9782" w:type="dxa"/>
        <w:tblInd w:w="-85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8402"/>
      </w:tblGrid>
      <w:tr w14:paraId="08587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0" w:type="dxa"/>
          </w:tcPr>
          <w:p w14:paraId="687DAC7D">
            <w:pPr>
              <w:rPr>
                <w:rFonts w:ascii="Calibri" w:hAnsi="Calibri" w:eastAsia="SimSun"/>
                <w:b/>
              </w:rPr>
            </w:pPr>
            <w:r>
              <w:rPr>
                <w:rFonts w:ascii="Calibri" w:hAnsi="Calibri" w:eastAsia="SimSun"/>
                <w:lang w:eastAsia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" name="Picture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02" w:type="dxa"/>
          </w:tcPr>
          <w:p w14:paraId="384F2614">
            <w:pPr>
              <w:spacing w:before="21" w:line="242" w:lineRule="auto"/>
              <w:ind w:left="20" w:right="18" w:firstLine="1"/>
              <w:jc w:val="center"/>
              <w:rPr>
                <w:lang w:val="ru-RU"/>
              </w:rPr>
            </w:pPr>
            <w:r>
              <w:rPr>
                <w:w w:val="105"/>
                <w:lang w:val="ru-RU"/>
              </w:rPr>
              <w:t xml:space="preserve">Министерство науки и высшего образования Российской Федерации </w:t>
            </w:r>
            <w:r>
              <w:rPr>
                <w:lang w:val="ru-RU"/>
              </w:rPr>
              <w:t>Федеральное государственное бюджетное образовательное учреждение</w:t>
            </w:r>
            <w:r>
              <w:rPr>
                <w:spacing w:val="80"/>
                <w:w w:val="105"/>
                <w:lang w:val="ru-RU"/>
              </w:rPr>
              <w:t xml:space="preserve"> </w:t>
            </w:r>
            <w:r>
              <w:rPr>
                <w:w w:val="105"/>
                <w:lang w:val="ru-RU"/>
              </w:rPr>
              <w:t>высшего образования</w:t>
            </w:r>
          </w:p>
          <w:p w14:paraId="4F74B1F8">
            <w:pPr>
              <w:spacing w:before="1" w:line="242" w:lineRule="auto"/>
              <w:ind w:left="469" w:right="508"/>
              <w:jc w:val="center"/>
              <w:rPr>
                <w:rFonts w:eastAsiaTheme="minorEastAsia"/>
                <w:spacing w:val="-2"/>
                <w:w w:val="105"/>
                <w:lang w:val="ru-RU"/>
              </w:rPr>
            </w:pPr>
            <w:r>
              <w:rPr>
                <w:spacing w:val="-2"/>
                <w:w w:val="105"/>
                <w:lang w:val="ru-RU"/>
              </w:rPr>
              <w:t>«Московский</w:t>
            </w:r>
            <w:r>
              <w:rPr>
                <w:spacing w:val="-13"/>
                <w:w w:val="105"/>
                <w:lang w:val="ru-RU"/>
              </w:rPr>
              <w:t xml:space="preserve"> </w:t>
            </w:r>
            <w:r>
              <w:rPr>
                <w:spacing w:val="-2"/>
                <w:w w:val="105"/>
                <w:lang w:val="ru-RU"/>
              </w:rPr>
              <w:t>государственный</w:t>
            </w:r>
            <w:r>
              <w:rPr>
                <w:spacing w:val="-13"/>
                <w:w w:val="105"/>
                <w:lang w:val="ru-RU"/>
              </w:rPr>
              <w:t xml:space="preserve"> </w:t>
            </w:r>
            <w:r>
              <w:rPr>
                <w:spacing w:val="-2"/>
                <w:w w:val="105"/>
                <w:lang w:val="ru-RU"/>
              </w:rPr>
              <w:t>технический</w:t>
            </w:r>
            <w:r>
              <w:rPr>
                <w:spacing w:val="-13"/>
                <w:w w:val="105"/>
                <w:lang w:val="ru-RU"/>
              </w:rPr>
              <w:t xml:space="preserve"> </w:t>
            </w:r>
            <w:r>
              <w:rPr>
                <w:spacing w:val="-2"/>
                <w:w w:val="105"/>
                <w:lang w:val="ru-RU"/>
              </w:rPr>
              <w:t xml:space="preserve">университет </w:t>
            </w:r>
          </w:p>
          <w:p w14:paraId="4ADC55BA">
            <w:pPr>
              <w:spacing w:before="1" w:line="242" w:lineRule="auto"/>
              <w:ind w:left="469" w:right="508"/>
              <w:jc w:val="center"/>
              <w:rPr>
                <w:lang w:val="ru-RU"/>
              </w:rPr>
            </w:pPr>
            <w:r>
              <w:rPr>
                <w:w w:val="105"/>
                <w:lang w:val="ru-RU"/>
              </w:rPr>
              <w:t>имени Н. Э. Баумана</w:t>
            </w:r>
          </w:p>
          <w:p w14:paraId="01D1AA39">
            <w:pPr>
              <w:spacing w:line="242" w:lineRule="auto"/>
              <w:ind w:left="840" w:right="815"/>
              <w:jc w:val="center"/>
              <w:rPr>
                <w:rFonts w:eastAsiaTheme="minorEastAsia"/>
                <w:spacing w:val="-2"/>
                <w:w w:val="105"/>
                <w:lang w:val="ru-RU"/>
              </w:rPr>
            </w:pPr>
            <w:r>
              <w:rPr>
                <w:spacing w:val="-2"/>
                <w:w w:val="105"/>
                <w:lang w:val="ru-RU"/>
              </w:rPr>
              <w:t xml:space="preserve">(национальный исследовательский университет)» </w:t>
            </w:r>
          </w:p>
          <w:p w14:paraId="637C0487">
            <w:pPr>
              <w:spacing w:line="242" w:lineRule="auto"/>
              <w:ind w:left="840" w:right="815"/>
              <w:jc w:val="center"/>
              <w:rPr>
                <w:lang w:val="ru-RU"/>
              </w:rPr>
            </w:pPr>
            <w:r>
              <w:rPr>
                <w:w w:val="105"/>
                <w:lang w:val="ru-RU"/>
              </w:rPr>
              <w:t>(МГТУ им. Н. Э. Баумана)</w:t>
            </w:r>
          </w:p>
          <w:p w14:paraId="27C69540">
            <w:pPr>
              <w:jc w:val="center"/>
              <w:rPr>
                <w:rFonts w:ascii="Calibri" w:hAnsi="Calibri" w:eastAsia="SimSun"/>
                <w:b/>
                <w:lang w:val="ru-RU"/>
              </w:rPr>
            </w:pPr>
            <w:r>
              <w:rPr>
                <w:sz w:val="20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page">
                        <wp:posOffset>-735965</wp:posOffset>
                      </wp:positionH>
                      <wp:positionV relativeFrom="page">
                        <wp:posOffset>1572895</wp:posOffset>
                      </wp:positionV>
                      <wp:extent cx="6332855" cy="49530"/>
                      <wp:effectExtent l="0" t="0" r="0" b="0"/>
                      <wp:wrapNone/>
                      <wp:docPr id="712035966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32855" cy="49530"/>
                                <a:chOff x="0" y="0"/>
                                <a:chExt cx="6332855" cy="49530"/>
                              </a:xfrm>
                            </wpg:grpSpPr>
                            <wps:wsp>
                              <wps:cNvPr id="1104451412" name="Graphic 3"/>
                              <wps:cNvSpPr/>
                              <wps:spPr>
                                <a:xfrm>
                                  <a:off x="0" y="0"/>
                                  <a:ext cx="6332855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32855" h="33020">
                                      <a:moveTo>
                                        <a:pt x="633239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397"/>
                                      </a:lnTo>
                                      <a:lnTo>
                                        <a:pt x="6332397" y="32397"/>
                                      </a:lnTo>
                                      <a:lnTo>
                                        <a:pt x="633239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238715220" name="Graphic 4"/>
                              <wps:cNvSpPr/>
                              <wps:spPr>
                                <a:xfrm>
                                  <a:off x="0" y="45669"/>
                                  <a:ext cx="63328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32855">
                                      <a:moveTo>
                                        <a:pt x="0" y="0"/>
                                      </a:moveTo>
                                      <a:lnTo>
                                        <a:pt x="6332397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" o:spid="_x0000_s1026" o:spt="203" style="position:absolute;left:0pt;margin-left:-57.95pt;margin-top:123.85pt;height:3.9pt;width:498.65pt;mso-position-horizontal-relative:page;mso-position-vertical-relative:page;z-index:-251656192;mso-width-relative:page;mso-height-relative:page;" coordsize="6332855,49530" o:gfxdata="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rSKwRtwAAAAMAQAADwAAAAAAAAABACAAAAAiAAAAZHJz&#10;L2Rvd25yZXYueG1sUEsBAhQAFAAAAAgAh07iQH+66PrkAgAAxQgAAA4AAAAAAAAAAQAgAAAAKwEA&#10;AGRycy9lMm9Eb2MueG1sUEsFBgAAAAAGAAYAWQEAAIEGAAAAAA==&#10;">
                      <o:lock v:ext="edit" aspectratio="f"/>
                      <v:shape id="Graphic 3" o:spid="_x0000_s1026" o:spt="100" style="position:absolute;left:0;top:0;height:33020;width:6332855;" fillcolor="#000000" filled="t" stroked="f" coordsize="6332855,33020" o:gfxdata="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Qwon&#10;wAAAAOMAAAAPAAAAAAAAAAEAIAAAACIAAABkcnMvZG93bnJldi54bWxQSwECFAAUAAAACACHTuJA&#10;My8FnjsAAAA5AAAAEAAAAAAAAAABACAAAAAPAQAAZHJzL3NoYXBleG1sLnhtbFBLBQYAAAAABgAG&#10;AFsBAAC5AwAAAAA=&#10;" path="m6332397,0l0,0,0,32397,6332397,32397,6332397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4" o:spid="_x0000_s1026" o:spt="100" style="position:absolute;left:0;top:45669;height:1270;width:6332855;" filled="f" stroked="t" coordsize="6332855,1" o:gfxdata="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O6&#10;6xzCAAAA4gAAAA8AAAAAAAAAAQAgAAAAIgAAAGRycy9kb3ducmV2LnhtbFBLAQIUABQAAAAIAIdO&#10;4kAzLwWeOwAAADkAAAAQAAAAAAAAAAEAIAAAABEBAABkcnMvc2hhcGV4bWwueG1sUEsFBgAAAAAG&#10;AAYAWwEAALsDAAAAAA==&#10;" path="m0,0l6332397,0e">
                        <v:fill on="f" focussize="0,0"/>
                        <v:stroke weight="0.566929133858268pt" color="#000000" joinstyle="round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</w:p>
        </w:tc>
      </w:tr>
    </w:tbl>
    <w:p w14:paraId="45379893">
      <w:pPr>
        <w:ind w:left="-708" w:leftChars="-295"/>
        <w:rPr>
          <w:rFonts w:ascii="Calibri" w:hAnsi="Calibri" w:eastAsia="SimSun"/>
          <w:lang w:val="ru-RU"/>
        </w:rPr>
      </w:pPr>
    </w:p>
    <w:tbl>
      <w:tblPr>
        <w:tblStyle w:val="17"/>
        <w:tblW w:w="10065" w:type="dxa"/>
        <w:tblInd w:w="-7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8"/>
        <w:gridCol w:w="8307"/>
      </w:tblGrid>
      <w:tr w14:paraId="05160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00E525E9">
            <w:pPr>
              <w:ind w:right="89" w:rightChars="37"/>
              <w:rPr>
                <w:rFonts w:eastAsia="SimSun"/>
              </w:rPr>
            </w:pPr>
            <w:r>
              <w:rPr>
                <w:rFonts w:eastAsia="SimSun"/>
              </w:rPr>
              <w:t>ФАКУЛЬТЕТ</w:t>
            </w:r>
          </w:p>
        </w:tc>
        <w:tc>
          <w:tcPr>
            <w:tcW w:w="8307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1EBFB56">
            <w:pPr>
              <w:jc w:val="center"/>
              <w:rPr>
                <w:rFonts w:eastAsia="SimSun"/>
                <w:lang w:val="ru-RU"/>
              </w:rPr>
            </w:pPr>
            <w:r>
              <w:rPr>
                <w:rFonts w:eastAsia="SimSun"/>
                <w:lang w:val="ru-RU"/>
              </w:rPr>
              <w:t>ИУ «Информатика, искусственный интеллект и системы управления»</w:t>
            </w:r>
          </w:p>
        </w:tc>
      </w:tr>
    </w:tbl>
    <w:p w14:paraId="39DA279E">
      <w:pPr>
        <w:ind w:leftChars="-295" w:hanging="708" w:hangingChars="295"/>
        <w:rPr>
          <w:rFonts w:eastAsia="SimSun"/>
          <w:iCs/>
          <w:lang w:val="ru-RU"/>
        </w:rPr>
      </w:pPr>
    </w:p>
    <w:tbl>
      <w:tblPr>
        <w:tblStyle w:val="17"/>
        <w:tblW w:w="10065" w:type="dxa"/>
        <w:tblInd w:w="-7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8366"/>
      </w:tblGrid>
      <w:tr w14:paraId="2885F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</w:tcPr>
          <w:p w14:paraId="012EB5C3">
            <w:pPr>
              <w:rPr>
                <w:rFonts w:eastAsia="SimSun"/>
                <w:i/>
              </w:rPr>
            </w:pPr>
            <w:r>
              <w:rPr>
                <w:rFonts w:eastAsia="SimSun"/>
              </w:rPr>
              <w:t>КАФЕДРА</w:t>
            </w:r>
          </w:p>
        </w:tc>
        <w:tc>
          <w:tcPr>
            <w:tcW w:w="8366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7FFB9C0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ИУ-1 «Системы автоматического управления»</w:t>
            </w:r>
          </w:p>
        </w:tc>
      </w:tr>
    </w:tbl>
    <w:p w14:paraId="36A023DD">
      <w:pPr>
        <w:ind w:left="-1" w:leftChars="-295" w:hanging="707" w:hangingChars="221"/>
        <w:rPr>
          <w:rFonts w:ascii="Calibri" w:hAnsi="Calibri" w:eastAsia="SimSun"/>
          <w:i/>
          <w:sz w:val="32"/>
        </w:rPr>
      </w:pPr>
    </w:p>
    <w:p w14:paraId="388C93ED">
      <w:pPr>
        <w:ind w:left="-1" w:leftChars="-295" w:hanging="707" w:hangingChars="221"/>
        <w:rPr>
          <w:rFonts w:ascii="Calibri" w:hAnsi="Calibri" w:eastAsia="SimSun"/>
          <w:i/>
          <w:sz w:val="32"/>
        </w:rPr>
      </w:pPr>
    </w:p>
    <w:p w14:paraId="0413BF3F">
      <w:pPr>
        <w:ind w:left="38" w:leftChars="-119" w:right="-766" w:rightChars="-319" w:hanging="324" w:hangingChars="101"/>
        <w:jc w:val="center"/>
        <w:rPr>
          <w:rFonts w:eastAsia="SimSun"/>
          <w:b/>
          <w:sz w:val="32"/>
          <w:szCs w:val="32"/>
          <w:lang w:val="ru-RU"/>
        </w:rPr>
      </w:pPr>
      <w:r>
        <w:rPr>
          <w:rFonts w:eastAsia="SimSun"/>
          <w:b/>
          <w:sz w:val="32"/>
          <w:szCs w:val="32"/>
          <w:lang w:val="ru-RU"/>
        </w:rPr>
        <w:t>ОТЧЕТ</w:t>
      </w:r>
    </w:p>
    <w:p w14:paraId="049C86B1">
      <w:pPr>
        <w:pStyle w:val="11"/>
        <w:spacing w:line="100" w:lineRule="atLeast"/>
        <w:ind w:left="-3" w:leftChars="-119" w:right="-766" w:rightChars="-319" w:hanging="283" w:hangingChars="101"/>
        <w:jc w:val="center"/>
        <w:rPr>
          <w:rFonts w:hint="default" w:eastAsia="SimSun"/>
          <w:b/>
          <w:bCs/>
          <w:spacing w:val="-10"/>
          <w:sz w:val="28"/>
          <w:szCs w:val="28"/>
          <w:lang w:val="en-US" w:eastAsia="zh-CN"/>
        </w:rPr>
      </w:pPr>
      <w:r>
        <w:rPr>
          <w:b/>
          <w:bCs/>
          <w:sz w:val="28"/>
          <w:szCs w:val="28"/>
        </w:rPr>
        <w:t>по</w:t>
      </w:r>
      <w:r>
        <w:rPr>
          <w:b/>
          <w:bCs/>
          <w:spacing w:val="28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лабораторной</w:t>
      </w:r>
      <w:r>
        <w:rPr>
          <w:b/>
          <w:bCs/>
          <w:spacing w:val="29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работе</w:t>
      </w:r>
      <w:r>
        <w:rPr>
          <w:b/>
          <w:bCs/>
          <w:spacing w:val="29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№</w:t>
      </w:r>
      <w:r>
        <w:rPr>
          <w:rFonts w:hint="eastAsia" w:eastAsiaTheme="minorEastAsia"/>
          <w:b/>
          <w:bCs/>
          <w:spacing w:val="16"/>
          <w:sz w:val="28"/>
          <w:szCs w:val="28"/>
          <w:lang w:eastAsia="zh-CN"/>
        </w:rPr>
        <w:t>.</w:t>
      </w:r>
      <w:r>
        <w:rPr>
          <w:rFonts w:hint="eastAsia" w:eastAsiaTheme="minorEastAsia"/>
          <w:b/>
          <w:bCs/>
          <w:spacing w:val="16"/>
          <w:sz w:val="28"/>
          <w:szCs w:val="28"/>
          <w:lang w:val="en-US" w:eastAsia="zh-CN"/>
        </w:rPr>
        <w:t>4</w:t>
      </w:r>
    </w:p>
    <w:p w14:paraId="388437F9">
      <w:pPr>
        <w:pStyle w:val="11"/>
        <w:spacing w:line="100" w:lineRule="atLeast"/>
        <w:ind w:left="-44" w:leftChars="-119" w:right="-766" w:rightChars="-319" w:hanging="242" w:hangingChars="101"/>
        <w:jc w:val="center"/>
        <w:rPr>
          <w:rFonts w:eastAsia="SimSun"/>
          <w:sz w:val="24"/>
          <w:szCs w:val="24"/>
          <w:lang w:eastAsia="zh-CN"/>
        </w:rPr>
      </w:pPr>
    </w:p>
    <w:p w14:paraId="750DAA60">
      <w:pPr>
        <w:pStyle w:val="11"/>
        <w:spacing w:line="100" w:lineRule="atLeast"/>
        <w:ind w:left="-43" w:leftChars="-119" w:right="-766" w:rightChars="-319" w:hanging="243" w:hangingChars="101"/>
        <w:jc w:val="center"/>
        <w:rPr>
          <w:rFonts w:eastAsia="SimSun"/>
          <w:sz w:val="24"/>
          <w:szCs w:val="24"/>
          <w:u w:val="single"/>
          <w:lang w:eastAsia="zh-CN"/>
        </w:rPr>
      </w:pPr>
      <w:r>
        <w:rPr>
          <w:rFonts w:eastAsia="SimSun"/>
          <w:b/>
          <w:bCs/>
          <w:sz w:val="24"/>
          <w:szCs w:val="24"/>
          <w:lang w:eastAsia="zh-CN"/>
        </w:rPr>
        <w:t>Дисциплина:</w:t>
      </w:r>
      <w:r>
        <w:rPr>
          <w:rFonts w:eastAsia="SimSun"/>
          <w:sz w:val="24"/>
          <w:szCs w:val="24"/>
          <w:lang w:eastAsia="zh-CN"/>
        </w:rPr>
        <w:t xml:space="preserve"> </w:t>
      </w:r>
      <w:r>
        <w:rPr>
          <w:rFonts w:eastAsia="SimSun"/>
          <w:sz w:val="24"/>
          <w:szCs w:val="24"/>
          <w:u w:val="single"/>
          <w:lang w:eastAsia="zh-CN"/>
        </w:rPr>
        <w:t>Эргатические системы</w:t>
      </w:r>
    </w:p>
    <w:p w14:paraId="284E17D1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p w14:paraId="56F478FA">
      <w:pPr>
        <w:ind w:left="64" w:leftChars="-295" w:hanging="772" w:hangingChars="322"/>
        <w:rPr>
          <w:rFonts w:ascii="Calibri" w:hAnsi="Calibri" w:eastAsia="SimSun"/>
          <w:lang w:val="ru-RU"/>
        </w:rPr>
      </w:pPr>
      <w:bookmarkStart w:id="0" w:name="_Hlk529132148"/>
    </w:p>
    <w:p w14:paraId="7BD1F6AB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p w14:paraId="40F0F4E2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p w14:paraId="76EF5831">
      <w:pPr>
        <w:ind w:left="64" w:leftChars="-295" w:right="367" w:rightChars="153" w:hanging="772" w:hangingChars="322"/>
        <w:rPr>
          <w:rFonts w:ascii="Calibri" w:hAnsi="Calibri" w:eastAsia="SimSun"/>
          <w:lang w:val="ru-RU"/>
        </w:rPr>
      </w:pPr>
    </w:p>
    <w:p w14:paraId="571744B0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p w14:paraId="32B2FB91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p w14:paraId="1769A52C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p w14:paraId="4AF24500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p w14:paraId="4B4DFDCC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p w14:paraId="0A0E4B10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tbl>
      <w:tblPr>
        <w:tblStyle w:val="17"/>
        <w:tblW w:w="6059" w:type="pct"/>
        <w:tblInd w:w="-85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2037"/>
        <w:gridCol w:w="1309"/>
        <w:gridCol w:w="2036"/>
        <w:gridCol w:w="436"/>
        <w:gridCol w:w="3056"/>
      </w:tblGrid>
      <w:tr w14:paraId="4E5B29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1625105">
            <w:pPr>
              <w:rPr>
                <w:rFonts w:eastAsia="SimSun"/>
                <w:lang w:val="ru-RU"/>
              </w:rPr>
            </w:pPr>
          </w:p>
          <w:p w14:paraId="13CB0D1A">
            <w:pPr>
              <w:rPr>
                <w:rFonts w:eastAsia="SimSun"/>
              </w:rPr>
            </w:pPr>
            <w:r>
              <w:rPr>
                <w:rFonts w:eastAsia="SimSun"/>
              </w:rPr>
              <w:t>Студент</w:t>
            </w:r>
          </w:p>
        </w:tc>
        <w:tc>
          <w:tcPr>
            <w:tcW w:w="1985" w:type="dxa"/>
            <w:tcBorders>
              <w:bottom w:val="single" w:color="auto" w:sz="4" w:space="0"/>
            </w:tcBorders>
          </w:tcPr>
          <w:p w14:paraId="6FC26194">
            <w:pPr>
              <w:rPr>
                <w:rFonts w:eastAsia="SimSun"/>
              </w:rPr>
            </w:pPr>
          </w:p>
          <w:p w14:paraId="0F266161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ИУ1И-</w:t>
            </w:r>
            <w:r>
              <w:rPr>
                <w:rFonts w:hint="eastAsia" w:eastAsia="SimSun"/>
              </w:rPr>
              <w:t>4</w:t>
            </w:r>
            <w:r>
              <w:rPr>
                <w:rFonts w:eastAsia="SimSun"/>
                <w:lang w:val="ru-RU"/>
              </w:rPr>
              <w:t>1</w:t>
            </w:r>
            <w:r>
              <w:rPr>
                <w:rFonts w:eastAsia="SimSun"/>
              </w:rPr>
              <w:t>М</w:t>
            </w:r>
          </w:p>
        </w:tc>
        <w:tc>
          <w:tcPr>
            <w:tcW w:w="1276" w:type="dxa"/>
          </w:tcPr>
          <w:p w14:paraId="4E728E65">
            <w:pPr>
              <w:rPr>
                <w:rFonts w:eastAsia="SimSun"/>
              </w:rPr>
            </w:pPr>
          </w:p>
        </w:tc>
        <w:tc>
          <w:tcPr>
            <w:tcW w:w="1984" w:type="dxa"/>
            <w:tcBorders>
              <w:bottom w:val="single" w:color="auto" w:sz="8" w:space="0"/>
            </w:tcBorders>
            <w:vAlign w:val="bottom"/>
          </w:tcPr>
          <w:p w14:paraId="1BCD8F76">
            <w:pPr>
              <w:jc w:val="right"/>
              <w:rPr>
                <w:rFonts w:eastAsia="SimSun"/>
                <w:lang w:val="ru-RU"/>
              </w:rPr>
            </w:pPr>
            <w:r>
              <w:rPr>
                <w:rFonts w:hint="eastAsia" w:eastAsia="SimSun"/>
                <w:sz w:val="20"/>
              </w:rPr>
              <w:t>31</w:t>
            </w:r>
            <w:r>
              <w:rPr>
                <w:rFonts w:eastAsia="SimSun"/>
                <w:sz w:val="20"/>
              </w:rPr>
              <w:t xml:space="preserve"> /  </w:t>
            </w:r>
            <w:r>
              <w:rPr>
                <w:rFonts w:hint="eastAsia" w:eastAsia="SimSun"/>
                <w:sz w:val="20"/>
              </w:rPr>
              <w:t>03</w:t>
            </w:r>
            <w:r>
              <w:rPr>
                <w:rFonts w:eastAsia="SimSun"/>
                <w:sz w:val="20"/>
              </w:rPr>
              <w:t xml:space="preserve">  /202</w:t>
            </w:r>
            <w:r>
              <w:rPr>
                <w:rFonts w:hint="eastAsia" w:eastAsia="SimSun"/>
                <w:sz w:val="20"/>
              </w:rPr>
              <w:t>6</w:t>
            </w:r>
          </w:p>
        </w:tc>
        <w:tc>
          <w:tcPr>
            <w:tcW w:w="425" w:type="dxa"/>
          </w:tcPr>
          <w:p w14:paraId="38056262">
            <w:pPr>
              <w:rPr>
                <w:rFonts w:eastAsia="SimSun"/>
              </w:rPr>
            </w:pPr>
          </w:p>
        </w:tc>
        <w:tc>
          <w:tcPr>
            <w:tcW w:w="2978" w:type="dxa"/>
            <w:tcBorders>
              <w:bottom w:val="single" w:color="auto" w:sz="8" w:space="0"/>
            </w:tcBorders>
          </w:tcPr>
          <w:p w14:paraId="419C0C23">
            <w:pPr>
              <w:jc w:val="center"/>
              <w:rPr>
                <w:rFonts w:eastAsia="SimSun"/>
                <w:lang w:val="ru-RU"/>
              </w:rPr>
            </w:pPr>
          </w:p>
          <w:p w14:paraId="1A8A7FF2">
            <w:pPr>
              <w:jc w:val="center"/>
              <w:rPr>
                <w:rFonts w:eastAsia="SimSun"/>
                <w:lang w:val="ru-RU"/>
              </w:rPr>
            </w:pPr>
            <w:r>
              <w:rPr>
                <w:rFonts w:eastAsia="SimSun"/>
                <w:lang w:val="ru-RU"/>
              </w:rPr>
              <w:t>Чжан Хаотянь</w:t>
            </w:r>
          </w:p>
        </w:tc>
      </w:tr>
      <w:tr w14:paraId="1FFC5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A57C5C0">
            <w:pPr>
              <w:rPr>
                <w:rFonts w:eastAsia="SimSun"/>
                <w:lang w:val="ru-RU"/>
              </w:rPr>
            </w:pPr>
          </w:p>
        </w:tc>
        <w:tc>
          <w:tcPr>
            <w:tcW w:w="1985" w:type="dxa"/>
            <w:tcBorders>
              <w:top w:val="single" w:color="auto" w:sz="4" w:space="0"/>
            </w:tcBorders>
          </w:tcPr>
          <w:p w14:paraId="344A1132">
            <w:pPr>
              <w:jc w:val="center"/>
              <w:rPr>
                <w:rFonts w:eastAsia="SimSun"/>
                <w:sz w:val="16"/>
              </w:rPr>
            </w:pPr>
            <w:r>
              <w:rPr>
                <w:rFonts w:eastAsia="SimSun"/>
                <w:sz w:val="16"/>
                <w:szCs w:val="18"/>
              </w:rPr>
              <w:t>(Группа)</w:t>
            </w:r>
          </w:p>
        </w:tc>
        <w:tc>
          <w:tcPr>
            <w:tcW w:w="1276" w:type="dxa"/>
          </w:tcPr>
          <w:p w14:paraId="188278B8">
            <w:pPr>
              <w:rPr>
                <w:rFonts w:eastAsia="SimSun"/>
                <w:sz w:val="16"/>
              </w:rPr>
            </w:pPr>
          </w:p>
        </w:tc>
        <w:tc>
          <w:tcPr>
            <w:tcW w:w="1984" w:type="dxa"/>
            <w:tcBorders>
              <w:top w:val="single" w:color="auto" w:sz="8" w:space="0"/>
            </w:tcBorders>
          </w:tcPr>
          <w:p w14:paraId="605DDE3E">
            <w:pPr>
              <w:jc w:val="center"/>
              <w:rPr>
                <w:rFonts w:eastAsia="SimSun"/>
                <w:sz w:val="16"/>
              </w:rPr>
            </w:pPr>
            <w:r>
              <w:rPr>
                <w:rFonts w:eastAsia="SimSun"/>
                <w:sz w:val="16"/>
                <w:szCs w:val="18"/>
              </w:rPr>
              <w:t>(Подпись, дата)</w:t>
            </w:r>
          </w:p>
        </w:tc>
        <w:tc>
          <w:tcPr>
            <w:tcW w:w="425" w:type="dxa"/>
          </w:tcPr>
          <w:p w14:paraId="0C23E198">
            <w:pPr>
              <w:rPr>
                <w:rFonts w:eastAsia="SimSun"/>
                <w:sz w:val="16"/>
              </w:rPr>
            </w:pPr>
          </w:p>
        </w:tc>
        <w:tc>
          <w:tcPr>
            <w:tcW w:w="2978" w:type="dxa"/>
            <w:tcBorders>
              <w:top w:val="single" w:color="auto" w:sz="8" w:space="0"/>
            </w:tcBorders>
          </w:tcPr>
          <w:p w14:paraId="57923B5D">
            <w:pPr>
              <w:jc w:val="center"/>
              <w:rPr>
                <w:rFonts w:eastAsia="SimSun"/>
                <w:sz w:val="16"/>
              </w:rPr>
            </w:pPr>
            <w:r>
              <w:rPr>
                <w:rFonts w:eastAsia="SimSun"/>
                <w:sz w:val="16"/>
                <w:szCs w:val="18"/>
              </w:rPr>
              <w:t>(И.О. Фамилия)</w:t>
            </w:r>
          </w:p>
        </w:tc>
      </w:tr>
    </w:tbl>
    <w:p w14:paraId="2E08F647">
      <w:pPr>
        <w:rPr>
          <w:rFonts w:eastAsia="SimSun"/>
        </w:rPr>
      </w:pPr>
    </w:p>
    <w:tbl>
      <w:tblPr>
        <w:tblStyle w:val="17"/>
        <w:tblW w:w="6059" w:type="pct"/>
        <w:tblInd w:w="-85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9"/>
        <w:gridCol w:w="2036"/>
        <w:gridCol w:w="436"/>
        <w:gridCol w:w="3056"/>
      </w:tblGrid>
      <w:tr w14:paraId="611EC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8" w:type="dxa"/>
          </w:tcPr>
          <w:p w14:paraId="28DCBC04">
            <w:pPr>
              <w:rPr>
                <w:rFonts w:eastAsia="SimSun"/>
              </w:rPr>
            </w:pPr>
            <w:r>
              <w:rPr>
                <w:rFonts w:eastAsia="SimSun"/>
              </w:rPr>
              <w:t>Преподаватель</w:t>
            </w:r>
          </w:p>
        </w:tc>
        <w:tc>
          <w:tcPr>
            <w:tcW w:w="1984" w:type="dxa"/>
            <w:tcBorders>
              <w:bottom w:val="single" w:color="auto" w:sz="8" w:space="0"/>
            </w:tcBorders>
            <w:vAlign w:val="bottom"/>
          </w:tcPr>
          <w:p w14:paraId="37259E1A">
            <w:pPr>
              <w:jc w:val="right"/>
              <w:rPr>
                <w:rFonts w:eastAsia="SimSun"/>
                <w:lang w:val="ru-RU"/>
              </w:rPr>
            </w:pPr>
            <w:r>
              <w:rPr>
                <w:rFonts w:eastAsia="SimSun"/>
                <w:sz w:val="20"/>
              </w:rPr>
              <w:t xml:space="preserve"> /       /202</w:t>
            </w:r>
            <w:r>
              <w:rPr>
                <w:rFonts w:hint="eastAsia" w:eastAsia="SimSun"/>
                <w:sz w:val="20"/>
              </w:rPr>
              <w:t>6</w:t>
            </w:r>
          </w:p>
        </w:tc>
        <w:tc>
          <w:tcPr>
            <w:tcW w:w="425" w:type="dxa"/>
          </w:tcPr>
          <w:p w14:paraId="392F0B36">
            <w:pPr>
              <w:rPr>
                <w:rFonts w:eastAsia="SimSun"/>
              </w:rPr>
            </w:pPr>
          </w:p>
        </w:tc>
        <w:tc>
          <w:tcPr>
            <w:tcW w:w="2978" w:type="dxa"/>
            <w:tcBorders>
              <w:bottom w:val="single" w:color="auto" w:sz="8" w:space="0"/>
            </w:tcBorders>
          </w:tcPr>
          <w:p w14:paraId="5CCDE032">
            <w:pPr>
              <w:jc w:val="center"/>
              <w:rPr>
                <w:rFonts w:eastAsia="SimSun"/>
                <w:lang w:val="ru-RU"/>
              </w:rPr>
            </w:pPr>
            <w:r>
              <w:rPr>
                <w:rFonts w:eastAsia="SimSun"/>
                <w:lang w:val="ru-RU"/>
              </w:rPr>
              <w:t>Кучин А. С.</w:t>
            </w:r>
          </w:p>
        </w:tc>
      </w:tr>
      <w:tr w14:paraId="51C9FB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8" w:type="dxa"/>
          </w:tcPr>
          <w:p w14:paraId="74A7F776">
            <w:pPr>
              <w:rPr>
                <w:rFonts w:eastAsia="SimSun"/>
                <w:lang w:val="ru-RU"/>
              </w:rPr>
            </w:pPr>
          </w:p>
        </w:tc>
        <w:tc>
          <w:tcPr>
            <w:tcW w:w="1984" w:type="dxa"/>
            <w:tcBorders>
              <w:top w:val="single" w:color="auto" w:sz="8" w:space="0"/>
            </w:tcBorders>
          </w:tcPr>
          <w:p w14:paraId="6ACD59E2">
            <w:pPr>
              <w:jc w:val="center"/>
              <w:rPr>
                <w:rFonts w:eastAsia="SimSun"/>
                <w:sz w:val="16"/>
              </w:rPr>
            </w:pPr>
            <w:r>
              <w:rPr>
                <w:rFonts w:eastAsia="SimSun"/>
                <w:sz w:val="16"/>
                <w:szCs w:val="18"/>
              </w:rPr>
              <w:t>(Подпись, дата)</w:t>
            </w:r>
          </w:p>
        </w:tc>
        <w:tc>
          <w:tcPr>
            <w:tcW w:w="425" w:type="dxa"/>
          </w:tcPr>
          <w:p w14:paraId="62FE2238">
            <w:pPr>
              <w:rPr>
                <w:rFonts w:eastAsia="SimSun"/>
                <w:sz w:val="16"/>
              </w:rPr>
            </w:pPr>
          </w:p>
        </w:tc>
        <w:tc>
          <w:tcPr>
            <w:tcW w:w="2978" w:type="dxa"/>
            <w:tcBorders>
              <w:top w:val="single" w:color="auto" w:sz="8" w:space="0"/>
            </w:tcBorders>
          </w:tcPr>
          <w:p w14:paraId="4A73A692">
            <w:pPr>
              <w:jc w:val="center"/>
              <w:rPr>
                <w:rFonts w:eastAsia="SimSun"/>
                <w:sz w:val="16"/>
              </w:rPr>
            </w:pPr>
            <w:r>
              <w:rPr>
                <w:rFonts w:eastAsia="SimSun"/>
                <w:sz w:val="16"/>
                <w:szCs w:val="18"/>
              </w:rPr>
              <w:t>(И.О. Фамилия)</w:t>
            </w:r>
          </w:p>
        </w:tc>
      </w:tr>
      <w:bookmarkEnd w:id="0"/>
    </w:tbl>
    <w:p w14:paraId="4CD227C8">
      <w:pPr>
        <w:widowControl/>
        <w:jc w:val="left"/>
        <w:rPr>
          <w:rFonts w:ascii="Calibri" w:hAnsi="Calibri" w:eastAsia="SimSun"/>
          <w:i/>
          <w:sz w:val="28"/>
          <w:lang w:val="ru-RU"/>
        </w:rPr>
      </w:pPr>
    </w:p>
    <w:p w14:paraId="354D1373">
      <w:pPr>
        <w:pStyle w:val="2"/>
        <w:jc w:val="center"/>
        <w:rPr>
          <w:lang w:val="ru-RU"/>
        </w:rPr>
      </w:pPr>
      <w:r>
        <w:rPr>
          <w:rFonts w:eastAsiaTheme="majorEastAsia"/>
          <w:lang w:val="ru-RU"/>
        </w:rPr>
        <w:t>1. Цель работы</w:t>
      </w:r>
    </w:p>
    <w:p w14:paraId="6C8CEB90">
      <w:pPr>
        <w:widowControl/>
        <w:spacing w:line="360" w:lineRule="auto"/>
        <w:ind w:firstLine="420" w:firstLineChars="0"/>
        <w:rPr>
          <w:rFonts w:hint="default" w:eastAsiaTheme="minorEastAsia"/>
          <w:lang w:val="ru-RU"/>
        </w:rPr>
      </w:pPr>
      <w:r>
        <w:rPr>
          <w:rFonts w:hint="default" w:eastAsiaTheme="minorEastAsia"/>
          <w:lang w:val="ru-RU"/>
        </w:rPr>
        <w:t>Цель данного эксперимента — разработка и проверка системы классификации электроэнцефалограмм (ЭЭГ) на основе глубокого обучения для автоматической идентификации эпилептических припадков. Одномерные временные ряды ЭЭГ преобразуются в двумерные частотно-временные изображения с помощью непрерывного вейвлет-преобразования (CWT), а признаки извлекаются с помощью сверточной нейронной сети (CNN) для бинарной классификации (норма против припадка).</w:t>
      </w:r>
    </w:p>
    <w:p w14:paraId="02DDCEA5">
      <w:pPr>
        <w:widowControl/>
        <w:spacing w:line="360" w:lineRule="auto"/>
        <w:ind w:firstLine="420" w:firstLineChars="0"/>
        <w:rPr>
          <w:rFonts w:hint="eastAsia" w:eastAsiaTheme="minorEastAsia"/>
          <w:lang w:val="ru-RU"/>
        </w:rPr>
      </w:pPr>
      <w:r>
        <w:rPr>
          <w:rFonts w:eastAsiaTheme="minorEastAsia"/>
          <w:lang w:val="ru-RU"/>
        </w:rPr>
        <w:t>Ссылка на репозиторий Git:</w:t>
      </w:r>
      <w:r>
        <w:rPr>
          <w:rFonts w:hint="eastAsia" w:eastAsiaTheme="minorEastAsia"/>
          <w:lang w:val="ru-RU"/>
        </w:rPr>
        <w:t xml:space="preserve"> </w:t>
      </w:r>
    </w:p>
    <w:p w14:paraId="70BE9DDE">
      <w:pPr>
        <w:widowControl/>
        <w:spacing w:line="360" w:lineRule="auto"/>
        <w:ind w:left="240" w:leftChars="100" w:firstLine="0" w:firstLineChars="0"/>
        <w:rPr>
          <w:rFonts w:eastAsiaTheme="minorEastAsia"/>
          <w:lang w:val="ru-RU"/>
        </w:rPr>
      </w:pPr>
      <w:r>
        <w:rPr>
          <w:rFonts w:hint="default" w:eastAsiaTheme="minorEastAsia"/>
          <w:lang w:val="ru-RU"/>
        </w:rPr>
        <w:t>https://github.com/youbadbad2agt/Haotian-Zhang/tree/Machinelearing</w:t>
      </w:r>
    </w:p>
    <w:p w14:paraId="3678D9D6">
      <w:pPr>
        <w:widowControl/>
        <w:jc w:val="left"/>
        <w:rPr>
          <w:rFonts w:eastAsiaTheme="majorEastAsia"/>
          <w:lang w:val="ru-RU"/>
        </w:rPr>
      </w:pPr>
    </w:p>
    <w:p w14:paraId="07727589">
      <w:pPr>
        <w:pStyle w:val="2"/>
        <w:jc w:val="center"/>
        <w:rPr>
          <w:rFonts w:eastAsiaTheme="majorEastAsia"/>
          <w:lang w:val="ru-RU"/>
        </w:rPr>
      </w:pPr>
      <w:r>
        <w:rPr>
          <w:rFonts w:hint="eastAsia" w:eastAsiaTheme="majorEastAsia"/>
          <w:lang w:val="en-US" w:eastAsia="zh-CN"/>
        </w:rPr>
        <w:t>2</w:t>
      </w:r>
      <w:r>
        <w:rPr>
          <w:rFonts w:eastAsiaTheme="majorEastAsia"/>
          <w:lang w:val="ru-RU"/>
        </w:rPr>
        <w:t>.</w:t>
      </w:r>
      <w:r>
        <w:rPr>
          <w:rFonts w:hint="eastAsia" w:eastAsiaTheme="majorEastAsia"/>
          <w:lang w:val="ru-RU"/>
        </w:rPr>
        <w:t xml:space="preserve"> </w:t>
      </w:r>
      <w:r>
        <w:rPr>
          <w:rFonts w:eastAsiaTheme="majorEastAsia"/>
          <w:lang w:val="ru-RU"/>
        </w:rPr>
        <w:t>Экспериментальная процедура и</w:t>
      </w:r>
      <w:r>
        <w:rPr>
          <w:rFonts w:hint="eastAsia" w:eastAsiaTheme="majorEastAsia"/>
          <w:lang w:val="ru-RU"/>
        </w:rPr>
        <w:t xml:space="preserve"> </w:t>
      </w:r>
      <w:r>
        <w:rPr>
          <w:rFonts w:eastAsiaTheme="majorEastAsia"/>
          <w:lang w:val="ru-RU"/>
        </w:rPr>
        <w:t>анализ результатов</w:t>
      </w:r>
    </w:p>
    <w:p w14:paraId="0EEFA413">
      <w:pPr>
        <w:pStyle w:val="3"/>
        <w:rPr>
          <w:rFonts w:eastAsiaTheme="minorEastAsia"/>
        </w:rPr>
      </w:pPr>
      <w:r>
        <w:rPr>
          <w:rFonts w:hint="eastAsia" w:eastAsiaTheme="minorEastAsia"/>
          <w:lang w:val="en-US" w:eastAsia="zh-CN"/>
        </w:rPr>
        <w:t>1.</w:t>
      </w:r>
      <w:r>
        <w:rPr>
          <w:rFonts w:eastAsiaTheme="minorEastAsia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Методика и подготовка данных</w:t>
      </w:r>
    </w:p>
    <w:p w14:paraId="3263B056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Для строгой оценки истинной обобщающей способности модели и полного исключения утечки данных временных рядов в эксперименте использовалась стратегия физического разделения данных на основе записей:</w:t>
      </w:r>
    </w:p>
    <w:p w14:paraId="280B2CBF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b/>
          <w:bCs/>
          <w:lang w:val="en-US" w:eastAsia="zh-CN"/>
        </w:rPr>
        <w:t>Источник данных:</w:t>
      </w:r>
      <w:r>
        <w:rPr>
          <w:rFonts w:hint="default" w:eastAsiaTheme="minorEastAsia"/>
          <w:lang w:val="en-US" w:eastAsia="zh-CN"/>
        </w:rPr>
        <w:t xml:space="preserve"> база данных ЭЭГ головы PhysioNet CHB-MIT (случай chb08).</w:t>
      </w:r>
    </w:p>
    <w:p w14:paraId="42564F8F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b/>
          <w:bCs/>
          <w:lang w:val="en-US" w:eastAsia="zh-CN"/>
        </w:rPr>
        <w:t>Формирование обучающей выборки</w:t>
      </w:r>
      <w:r>
        <w:rPr>
          <w:rFonts w:hint="default" w:eastAsiaTheme="minorEastAsia"/>
          <w:lang w:val="en-US" w:eastAsia="zh-CN"/>
        </w:rPr>
        <w:t>: Использование исключительно записи chb08_02.edf. С помощью 3-секундного окна было извлечено по 50 сегментов в течение иктальной фазы (2670-2841 секунд) и нормальной фазы.</w:t>
      </w:r>
    </w:p>
    <w:p w14:paraId="35230B96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59070" cy="1574800"/>
            <wp:effectExtent l="0" t="0" r="13970" b="1016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63C41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b/>
          <w:bCs/>
          <w:lang w:val="en-US" w:eastAsia="zh-CN"/>
        </w:rPr>
        <w:t>Формирование валидационной выборки</w:t>
      </w:r>
      <w:r>
        <w:rPr>
          <w:rFonts w:hint="default" w:eastAsiaTheme="minorEastAsia"/>
          <w:lang w:val="en-US" w:eastAsia="zh-CN"/>
        </w:rPr>
        <w:t>: Использование исключительно записи chb08_13.edf, которая не использовалась в обучении. Снова с помощью 3-секундного окна было извлечено по 50 сегментов в течение иктальной фазы (2417-2577 секунд) и нормальной фазы.</w:t>
      </w:r>
    </w:p>
    <w:p w14:paraId="1BD45D63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0975" cy="1624965"/>
            <wp:effectExtent l="0" t="0" r="12065" b="571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89A72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b/>
          <w:bCs/>
          <w:lang w:val="en-US" w:eastAsia="zh-CN"/>
        </w:rPr>
        <w:t>Предварительная обработка данных</w:t>
      </w:r>
      <w:r>
        <w:rPr>
          <w:rFonts w:hint="default" w:eastAsiaTheme="minorEastAsia"/>
          <w:lang w:val="en-US" w:eastAsia="zh-CN"/>
        </w:rPr>
        <w:t xml:space="preserve">: были выбраны каналы FP1-F7, и для генерации псевдоцветного изображения Jet размером 224x224 пикселя без координатных осей было применено преобразование Морле (шкала 1-128). </w:t>
      </w:r>
      <w:r>
        <w:rPr>
          <w:rFonts w:hint="eastAsia" w:eastAsiaTheme="minorEastAsia"/>
          <w:lang w:val="en-US" w:eastAsia="zh-CN"/>
        </w:rPr>
        <w:tab/>
      </w:r>
      <w:r>
        <w:rPr>
          <w:rFonts w:hint="default" w:eastAsiaTheme="minorEastAsia"/>
          <w:b/>
          <w:bCs/>
          <w:lang w:val="en-US" w:eastAsia="zh-CN"/>
        </w:rPr>
        <w:t>Архитектура сети</w:t>
      </w:r>
      <w:r>
        <w:rPr>
          <w:rFonts w:hint="default" w:eastAsiaTheme="minorEastAsia"/>
          <w:lang w:val="en-US" w:eastAsia="zh-CN"/>
        </w:rPr>
        <w:t>: была построена полносвязная выходная сверточная нейронная сеть с 3 сверточными слоями пулинга (32-64-128 каналов) и Dropout (0,5), обученная в течение 15 эпох с использованием оптимизатора Adam и функции потерь бинарной кросс-энтропии.</w:t>
      </w:r>
    </w:p>
    <w:p w14:paraId="50923847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</w:p>
    <w:p w14:paraId="4C4B185D">
      <w:pPr>
        <w:pStyle w:val="3"/>
        <w:numPr>
          <w:ilvl w:val="0"/>
          <w:numId w:val="1"/>
        </w:numPr>
        <w:rPr>
          <w:rFonts w:eastAsiaTheme="minorEastAsia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Результаты и анализ</w:t>
      </w:r>
    </w:p>
    <w:p w14:paraId="3E1ECE73">
      <w:pPr>
        <w:spacing w:line="360" w:lineRule="auto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eastAsia" w:eastAsiaTheme="minorEastAsia"/>
          <w:b/>
          <w:bCs/>
          <w:lang w:val="en-US" w:eastAsia="zh-CN"/>
        </w:rPr>
        <w:t>2.1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Анализ кривых обучения</w:t>
      </w:r>
    </w:p>
    <w:p w14:paraId="759D16EA">
      <w:pPr>
        <w:spacing w:line="360" w:lineRule="auto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drawing>
          <wp:inline distT="0" distB="0" distL="114300" distR="114300">
            <wp:extent cx="5267325" cy="1804670"/>
            <wp:effectExtent l="0" t="0" r="5715" b="889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17BB4">
      <w:pPr>
        <w:spacing w:line="36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</w:pPr>
    </w:p>
    <w:p w14:paraId="49F64220">
      <w:pPr>
        <w:ind w:firstLine="420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Точность: Точность на обучающем наборе (синяя линия) быстро достигает 100% (1,0) примерно к 5-й эпохе. Точность на валидационном наборе (красная линия) изначально высока, но затем сильно колеблется, в конечном итоге стабилизируясь в диапазоне 70–80%.</w:t>
      </w:r>
    </w:p>
    <w:p w14:paraId="2B1B016B">
      <w:pPr>
        <w:ind w:firstLine="420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Функция потерь: Это наиболее важный показатель. Потери на обучающем наборе (синяя линия) неуклонно снижаются, приближаясь к 0. Однако потери на валидационном наборе (красная линия) начинают устойчиво и значительно расти после 4-й эпохи (взлетая с 0,5 до более чем 3,0).</w:t>
      </w:r>
    </w:p>
    <w:p w14:paraId="7022ED2E">
      <w:pPr>
        <w:ind w:firstLine="420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Вывод: Модель демонстрирует сильное переобучение. Сеть идеально запоминает все детали обучающего набора (chb08_02.edf) (включая специфический фоновый шум), но распределение вероятностей на выходе показывает огромное отклонение при работе с совершенно новым валидационным набором (chb08_13.edf).</w:t>
      </w:r>
    </w:p>
    <w:p w14:paraId="555DFBE2">
      <w:pPr>
        <w:pStyle w:val="3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eastAsia" w:eastAsiaTheme="minorEastAsia"/>
          <w:lang w:val="en-US" w:eastAsia="zh-CN"/>
        </w:rPr>
        <w:t>2.2</w:t>
      </w:r>
      <w:r>
        <w:rPr>
          <w:rFonts w:hint="eastAsia" w:eastAsiaTheme="minorEastAsia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Анализ матрицы ошибок</w:t>
      </w:r>
    </w:p>
    <w:p w14:paraId="6A912F0E">
      <w:pPr>
        <w:rPr>
          <w:rFonts w:hint="default" w:ascii="Times New Roman" w:hAnsi="Times New Roman" w:eastAsia="SimSun" w:cs="Times New Roman"/>
          <w:b w:val="0"/>
          <w:bCs/>
          <w:lang w:val="en-US" w:eastAsia="zh-CN"/>
        </w:rPr>
      </w:pPr>
      <w:r>
        <w:drawing>
          <wp:inline distT="0" distB="0" distL="114300" distR="114300">
            <wp:extent cx="5269865" cy="4077970"/>
            <wp:effectExtent l="0" t="0" r="3175" b="635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7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b w:val="0"/>
          <w:bCs/>
          <w:lang w:val="en-US" w:eastAsia="zh-CN"/>
        </w:rPr>
        <w:t>В проверочном наборе из 100 образцов результаты классификации модели были следующими:</w:t>
      </w:r>
    </w:p>
    <w:p w14:paraId="7E9C9C98">
      <w:pPr>
        <w:ind w:firstLine="420" w:firstLineChars="0"/>
        <w:rPr>
          <w:rFonts w:hint="default" w:ascii="Times New Roman" w:hAnsi="Times New Roman" w:eastAsia="SimSun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/>
          <w:lang w:val="en-US" w:eastAsia="zh-CN"/>
        </w:rPr>
        <w:t>Истинно положительные (предполагаемый приступ и фактический приступ): 49 случаевЛожноотрицательные (предполагаемый нормальный результат, но фактический приступ, пропущенный диагноз): 1 случай</w:t>
      </w:r>
    </w:p>
    <w:p w14:paraId="2B48127F">
      <w:pPr>
        <w:ind w:firstLine="420" w:firstLineChars="0"/>
        <w:rPr>
          <w:rFonts w:hint="default" w:ascii="Times New Roman" w:hAnsi="Times New Roman" w:eastAsia="SimSun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/>
          <w:lang w:val="en-US" w:eastAsia="zh-CN"/>
        </w:rPr>
        <w:t>Истинно отрицательные (предполагаемый нормальный результат и фактический нормальный результат): 29 случаев</w:t>
      </w:r>
    </w:p>
    <w:p w14:paraId="01B5A789">
      <w:pPr>
        <w:ind w:firstLine="420" w:firstLineChars="0"/>
        <w:rPr>
          <w:rFonts w:hint="default" w:ascii="Times New Roman" w:hAnsi="Times New Roman" w:eastAsia="SimSun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/>
          <w:lang w:val="en-US" w:eastAsia="zh-CN"/>
        </w:rPr>
        <w:t>Ложноположительные (предполагаемый приступ, но фактический нормальный результат, ошибочный диагноз): 21 случай</w:t>
      </w:r>
    </w:p>
    <w:p w14:paraId="6CECEEF4">
      <w:pPr>
        <w:rPr>
          <w:rFonts w:hint="default" w:ascii="Times New Roman" w:hAnsi="Times New Roman" w:eastAsia="SimSun" w:cs="Times New Roman"/>
          <w:b/>
          <w:bCs w:val="0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 w:val="0"/>
          <w:lang w:val="en-US" w:eastAsia="zh-CN"/>
        </w:rPr>
        <w:t>Вывод:</w:t>
      </w:r>
    </w:p>
    <w:p w14:paraId="6D99D341">
      <w:pPr>
        <w:ind w:firstLine="420" w:firstLineChars="0"/>
        <w:rPr>
          <w:rFonts w:hint="default" w:ascii="Times New Roman" w:hAnsi="Times New Roman" w:eastAsia="SimSun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/>
          <w:lang w:val="en-US" w:eastAsia="zh-CN"/>
        </w:rPr>
        <w:t>Чрезвычайно высокая чувствительность (чувствительность/полнота = 98%): Модель очень чувствительна к обнаружению «характеристик приступа», пропуская практически все реальные эпилептические приступы.</w:t>
      </w:r>
    </w:p>
    <w:p w14:paraId="37F3BB31">
      <w:pPr>
        <w:ind w:firstLine="420" w:firstLineChars="0"/>
        <w:rPr>
          <w:rFonts w:eastAsiaTheme="majorEastAsia"/>
          <w:lang w:val="ru-RU"/>
        </w:rPr>
      </w:pPr>
      <w:r>
        <w:rPr>
          <w:rFonts w:hint="default" w:ascii="Times New Roman" w:hAnsi="Times New Roman" w:eastAsia="SimSun" w:cs="Times New Roman"/>
          <w:b w:val="0"/>
          <w:bCs/>
          <w:lang w:val="en-US" w:eastAsia="zh-CN"/>
        </w:rPr>
        <w:t>Низкая специфичность (специфичность = 58%): Модель продемонстрировала серьезную «ложноположительную предвзятость». Она ошибочно классифицировала почти половину (21/50) нормальных ЭЭГ как эпилепсию. Это подтверждает аномалию на кривой потерь: модель склонна давать консервативные и неверные определения «захвата» при работе с неизвестными данными.</w:t>
      </w:r>
    </w:p>
    <w:p w14:paraId="12DBAA9A">
      <w:pPr>
        <w:pStyle w:val="2"/>
        <w:jc w:val="center"/>
        <w:rPr>
          <w:rFonts w:hint="default"/>
          <w:lang w:val="ru-RU" w:eastAsia="zh-CN"/>
        </w:rPr>
      </w:pPr>
      <w:r>
        <w:rPr>
          <w:rFonts w:hint="eastAsia" w:eastAsiaTheme="majorEastAsia"/>
          <w:lang w:val="en-US" w:eastAsia="zh-CN"/>
        </w:rPr>
        <w:t>3</w:t>
      </w:r>
      <w:bookmarkStart w:id="1" w:name="_GoBack"/>
      <w:bookmarkEnd w:id="1"/>
      <w:r>
        <w:rPr>
          <w:rFonts w:eastAsiaTheme="majorEastAsia"/>
          <w:lang w:val="ru-RU"/>
        </w:rPr>
        <w:t>. Заключение</w:t>
      </w:r>
    </w:p>
    <w:p w14:paraId="34DEA95F">
      <w:pPr>
        <w:pStyle w:val="15"/>
        <w:keepNext w:val="0"/>
        <w:keepLines w:val="0"/>
        <w:widowControl/>
        <w:suppressLineNumbers w:val="0"/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ходе данного эксперимента была успешно разработана, реализована и протестирована система автоматического обнаружения эпилептических приступов на основе анализа временных рядов электроэнцефалограммы (ЭЭГ). Построенный пайплайн объединил методы цифровой обработки сигналов (непрерывное вейвлет-преобразование, CWT) и глубокого обучения (сверточные нейронные сети, CNN) для бинарной классификации состояний «норма» и «приступ».</w:t>
      </w:r>
    </w:p>
    <w:p w14:paraId="4D9B59A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Ключевые выводы по результатам работы:</w:t>
      </w:r>
    </w:p>
    <w:p w14:paraId="2BD1867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Важность методологии валидации:</w:t>
      </w:r>
      <w:r>
        <w:rPr>
          <w:rFonts w:hint="default" w:ascii="Times New Roman" w:hAnsi="Times New Roman" w:cs="Times New Roman"/>
        </w:rPr>
        <w:t xml:space="preserve"> Главным достижением эксперимента стал отказ от стандартного случайного разделения данных в пользу строгой поканальной и файловой изоляции (Record-wise split). Обучение модели на записи </w:t>
      </w:r>
      <w:r>
        <w:rPr>
          <w:rStyle w:val="21"/>
          <w:rFonts w:hint="default" w:ascii="Times New Roman" w:hAnsi="Times New Roman" w:cs="Times New Roman"/>
        </w:rPr>
        <w:t>chb08_02.edf</w:t>
      </w:r>
      <w:r>
        <w:rPr>
          <w:rFonts w:hint="default" w:ascii="Times New Roman" w:hAnsi="Times New Roman" w:cs="Times New Roman"/>
        </w:rPr>
        <w:t xml:space="preserve"> и ее независимое тестирование на </w:t>
      </w:r>
      <w:r>
        <w:rPr>
          <w:rStyle w:val="21"/>
          <w:rFonts w:hint="default" w:ascii="Times New Roman" w:hAnsi="Times New Roman" w:cs="Times New Roman"/>
        </w:rPr>
        <w:t>chb08_13.edf</w:t>
      </w:r>
      <w:r>
        <w:rPr>
          <w:rFonts w:hint="default" w:ascii="Times New Roman" w:hAnsi="Times New Roman" w:cs="Times New Roman"/>
        </w:rPr>
        <w:t xml:space="preserve"> позволило избежать эффекта «утечки данных» (data leakage) и получить объективную картину работы сети.</w:t>
      </w:r>
    </w:p>
    <w:p w14:paraId="2EB5C91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Высокая чувствительность модели:</w:t>
      </w:r>
      <w:r>
        <w:rPr>
          <w:rFonts w:hint="default" w:ascii="Times New Roman" w:hAnsi="Times New Roman" w:cs="Times New Roman"/>
        </w:rPr>
        <w:t xml:space="preserve"> Разработанная архитектура CNN продемонстрировала отличную способность извлекать частотно-временные паттерны приступов на вейвлет-изображениях. Модель показала крайне низкий процент ложноотрицательных результатов (пропусков приступов).</w:t>
      </w:r>
    </w:p>
    <w:p w14:paraId="58EA665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Проблема переобучения (Overfitting) и гипердиагностики:</w:t>
      </w:r>
      <w:r>
        <w:rPr>
          <w:rFonts w:hint="default" w:ascii="Times New Roman" w:hAnsi="Times New Roman" w:cs="Times New Roman"/>
        </w:rPr>
        <w:t xml:space="preserve"> Графики функции потерь и матрица ошибок выявили уязвимость модели к переобучению. Сеть слишком хорошо «запомнила» специфический фоновый шум обучающего файла, из-за чего на новых данных (валидационная запись) стала выдавать большое количество ложноположительных результатов (ложных тревог).</w:t>
      </w:r>
    </w:p>
    <w:p w14:paraId="72F7F75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Перспективы и дальнейшие шаги:</w:t>
      </w:r>
      <w:r>
        <w:rPr>
          <w:rFonts w:hint="default" w:ascii="Times New Roman" w:hAnsi="Times New Roman" w:cs="Times New Roman"/>
        </w:rPr>
        <w:t xml:space="preserve"> Полученные результаты наглядно доказывают, что для задач медицинской диагностики недостаточно использовать фрагменты одной записи. Для создания надежной клинической модели, устойчивой к индивидуальным особенностям пациентов и фоновым артефактам, в дальнейшем необходимо:</w:t>
      </w:r>
    </w:p>
    <w:p w14:paraId="0D0B219B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Масштабировать набор данных:</w:t>
      </w:r>
      <w:r>
        <w:rPr>
          <w:rFonts w:hint="default" w:ascii="Times New Roman" w:hAnsi="Times New Roman" w:cs="Times New Roman"/>
        </w:rPr>
        <w:t xml:space="preserve"> включить в обучающую выборку записи множества разных пациентов (cross-patient training).</w:t>
      </w:r>
    </w:p>
    <w:p w14:paraId="3DC7ED1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Применить аугментацию:</w:t>
      </w:r>
      <w:r>
        <w:rPr>
          <w:rFonts w:hint="default" w:ascii="Times New Roman" w:hAnsi="Times New Roman" w:cs="Times New Roman"/>
        </w:rPr>
        <w:t xml:space="preserve"> использовать метод перекрывающихся скользящих окон (sliding window) для искусственного увеличения объема данных.</w:t>
      </w:r>
    </w:p>
    <w:p w14:paraId="3A096E2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Оптимизировать архитектуру:</w:t>
      </w:r>
      <w:r>
        <w:rPr>
          <w:rFonts w:hint="default" w:ascii="Times New Roman" w:hAnsi="Times New Roman" w:cs="Times New Roman"/>
        </w:rPr>
        <w:t xml:space="preserve"> внедрить методы сильной регуляризации (L2-регуляризация, увеличение Dropout) или использовать методы трансферного обучения (Transfer Learning) на базе легковесных предобученных моделей (например, MobileNet).</w:t>
      </w:r>
    </w:p>
    <w:p w14:paraId="614031F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Эксперимент полностью достиг своей цели, не только решив задачу классификации, но и наглядно продемонстрировав критическую важность правильной валидации при работе со сложными медицинскими временными рядами.</w:t>
      </w:r>
    </w:p>
    <w:p w14:paraId="46BB9C6A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ru-RU" w:eastAsia="zh-CN"/>
        </w:rPr>
      </w:pPr>
    </w:p>
    <w:sectPr>
      <w:footerReference r:id="rId3" w:type="first"/>
      <w:pgSz w:w="11906" w:h="16838"/>
      <w:pgMar w:top="1440" w:right="1800" w:bottom="1440" w:left="1800" w:header="851" w:footer="992" w:gutter="0"/>
      <w:cols w:space="425" w:num="1"/>
      <w:titlePg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6FDAAC">
    <w:pPr>
      <w:jc w:val="center"/>
      <w:rPr>
        <w:rFonts w:ascii="Calibri" w:hAnsi="Calibri" w:eastAsia="SimSun"/>
        <w:i/>
        <w:sz w:val="28"/>
      </w:rPr>
    </w:pPr>
    <w:r>
      <w:rPr>
        <w:rFonts w:ascii="Calibri" w:hAnsi="Calibri" w:eastAsia="SimSun"/>
        <w:i/>
        <w:sz w:val="28"/>
      </w:rPr>
      <w:t>202</w:t>
    </w:r>
    <w:r>
      <w:rPr>
        <w:rFonts w:hint="eastAsia" w:ascii="Calibri" w:hAnsi="Calibri" w:eastAsia="SimSun"/>
        <w:i/>
        <w:sz w:val="28"/>
        <w:lang w:val="en-GB"/>
      </w:rPr>
      <w:t>6</w:t>
    </w:r>
    <w:r>
      <w:rPr>
        <w:rFonts w:ascii="Calibri" w:hAnsi="Calibri" w:eastAsia="SimSun"/>
        <w:i/>
        <w:sz w:val="28"/>
      </w:rPr>
      <w:t xml:space="preserve"> г.</w:t>
    </w:r>
  </w:p>
  <w:p w14:paraId="1724C01E">
    <w:pPr>
      <w:pStyle w:val="1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ED0CA9"/>
    <w:multiLevelType w:val="singleLevel"/>
    <w:tmpl w:val="77ED0CA9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29F"/>
    <w:rsid w:val="00066145"/>
    <w:rsid w:val="000A666E"/>
    <w:rsid w:val="00144D32"/>
    <w:rsid w:val="00176B12"/>
    <w:rsid w:val="0032439F"/>
    <w:rsid w:val="003D445D"/>
    <w:rsid w:val="00405E4D"/>
    <w:rsid w:val="00511F1E"/>
    <w:rsid w:val="00552A30"/>
    <w:rsid w:val="00576B2A"/>
    <w:rsid w:val="005A77B5"/>
    <w:rsid w:val="006302BD"/>
    <w:rsid w:val="00634549"/>
    <w:rsid w:val="00662E9F"/>
    <w:rsid w:val="006F590E"/>
    <w:rsid w:val="007A2FCB"/>
    <w:rsid w:val="007D469D"/>
    <w:rsid w:val="007F3743"/>
    <w:rsid w:val="00881025"/>
    <w:rsid w:val="008F79BB"/>
    <w:rsid w:val="00900913"/>
    <w:rsid w:val="00905E88"/>
    <w:rsid w:val="009100C5"/>
    <w:rsid w:val="00980325"/>
    <w:rsid w:val="00A2478F"/>
    <w:rsid w:val="00A410AE"/>
    <w:rsid w:val="00A624B3"/>
    <w:rsid w:val="00A65C2F"/>
    <w:rsid w:val="00A8065F"/>
    <w:rsid w:val="00AA585A"/>
    <w:rsid w:val="00AE7294"/>
    <w:rsid w:val="00B207ED"/>
    <w:rsid w:val="00BF6528"/>
    <w:rsid w:val="00C5729F"/>
    <w:rsid w:val="00DD34C3"/>
    <w:rsid w:val="00DE3E60"/>
    <w:rsid w:val="00DE6A6F"/>
    <w:rsid w:val="00FD1D77"/>
    <w:rsid w:val="06EB0BBA"/>
    <w:rsid w:val="091F2D9D"/>
    <w:rsid w:val="097529BD"/>
    <w:rsid w:val="0A397E8E"/>
    <w:rsid w:val="0E230C39"/>
    <w:rsid w:val="168F435B"/>
    <w:rsid w:val="1787048B"/>
    <w:rsid w:val="181D2B9D"/>
    <w:rsid w:val="20BA367F"/>
    <w:rsid w:val="225B49EE"/>
    <w:rsid w:val="23241284"/>
    <w:rsid w:val="29D4102F"/>
    <w:rsid w:val="2E032813"/>
    <w:rsid w:val="324E1E79"/>
    <w:rsid w:val="34670FD0"/>
    <w:rsid w:val="3B84690C"/>
    <w:rsid w:val="3D1837B0"/>
    <w:rsid w:val="40B57568"/>
    <w:rsid w:val="41055DF9"/>
    <w:rsid w:val="422449A5"/>
    <w:rsid w:val="47857C94"/>
    <w:rsid w:val="490638DF"/>
    <w:rsid w:val="49E113CD"/>
    <w:rsid w:val="4E265601"/>
    <w:rsid w:val="5FF7504F"/>
    <w:rsid w:val="60A16261"/>
    <w:rsid w:val="61C86CA3"/>
    <w:rsid w:val="65A33DFF"/>
    <w:rsid w:val="69AD6E62"/>
    <w:rsid w:val="69EE301F"/>
    <w:rsid w:val="6A441C65"/>
    <w:rsid w:val="6CC12C6C"/>
    <w:rsid w:val="6EE63B08"/>
    <w:rsid w:val="725D0E16"/>
    <w:rsid w:val="76065B94"/>
    <w:rsid w:val="79B002F1"/>
    <w:rsid w:val="7BD83B2F"/>
    <w:rsid w:val="7F8F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color w:val="000000" w:themeColor="text1"/>
      <w:kern w:val="2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b/>
      <w:sz w:val="28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160" w:after="80"/>
      <w:outlineLvl w:val="1"/>
    </w:pPr>
    <w:rPr>
      <w:b/>
      <w:szCs w:val="28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43"/>
    <w:qFormat/>
    <w:uiPriority w:val="1"/>
    <w:pPr>
      <w:autoSpaceDE w:val="0"/>
      <w:autoSpaceDN w:val="0"/>
      <w:jc w:val="left"/>
    </w:pPr>
    <w:rPr>
      <w:color w:val="auto"/>
      <w:kern w:val="0"/>
      <w:sz w:val="28"/>
      <w:szCs w:val="28"/>
      <w:lang w:val="ru-RU" w:eastAsia="en-US"/>
    </w:rPr>
  </w:style>
  <w:style w:type="paragraph" w:styleId="12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SimSun" w:hAnsi="SimSun" w:eastAsia="SimSun" w:cs="SimSun"/>
      <w:color w:val="auto"/>
      <w:kern w:val="0"/>
    </w:rPr>
  </w:style>
  <w:style w:type="paragraph" w:styleId="16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8">
    <w:name w:val="Table Grid"/>
    <w:basedOn w:val="1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Hyperlink"/>
    <w:basedOn w:val="19"/>
    <w:semiHidden/>
    <w:unhideWhenUsed/>
    <w:uiPriority w:val="99"/>
    <w:rPr>
      <w:color w:val="0000FF"/>
      <w:u w:val="single"/>
    </w:rPr>
  </w:style>
  <w:style w:type="character" w:styleId="21">
    <w:name w:val="HTML Code"/>
    <w:basedOn w:val="19"/>
    <w:semiHidden/>
    <w:unhideWhenUsed/>
    <w:qFormat/>
    <w:uiPriority w:val="99"/>
    <w:rPr>
      <w:rFonts w:ascii="SimSun" w:hAnsi="SimSun" w:eastAsia="SimSun" w:cs="SimSun"/>
      <w:sz w:val="24"/>
      <w:szCs w:val="24"/>
    </w:rPr>
  </w:style>
  <w:style w:type="character" w:customStyle="1" w:styleId="22">
    <w:name w:val="标题 1 字符"/>
    <w:basedOn w:val="19"/>
    <w:link w:val="2"/>
    <w:qFormat/>
    <w:uiPriority w:val="9"/>
    <w:rPr>
      <w:rFonts w:ascii="Times New Roman" w:hAnsi="Times New Roman" w:eastAsia="Times New Roman" w:cs="Times New Roman"/>
      <w:b/>
      <w:color w:val="000000" w:themeColor="text1"/>
      <w:sz w:val="28"/>
      <w:szCs w:val="44"/>
      <w14:textFill>
        <w14:solidFill>
          <w14:schemeClr w14:val="tx1"/>
        </w14:solidFill>
      </w14:textFill>
    </w:rPr>
  </w:style>
  <w:style w:type="character" w:customStyle="1" w:styleId="23">
    <w:name w:val="标题 2 字符"/>
    <w:basedOn w:val="19"/>
    <w:link w:val="3"/>
    <w:qFormat/>
    <w:uiPriority w:val="9"/>
    <w:rPr>
      <w:rFonts w:eastAsia="Times New Roman"/>
      <w:b/>
      <w:color w:val="000000" w:themeColor="text1"/>
      <w:kern w:val="2"/>
      <w:sz w:val="24"/>
      <w:szCs w:val="28"/>
      <w14:textFill>
        <w14:solidFill>
          <w14:schemeClr w14:val="tx1"/>
        </w14:solidFill>
      </w14:textFill>
    </w:rPr>
  </w:style>
  <w:style w:type="character" w:customStyle="1" w:styleId="24">
    <w:name w:val="标题 3 字符"/>
    <w:basedOn w:val="19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标题 4 字符"/>
    <w:basedOn w:val="19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6">
    <w:name w:val="标题 5 字符"/>
    <w:basedOn w:val="19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7">
    <w:name w:val="标题 6 字符"/>
    <w:basedOn w:val="19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8">
    <w:name w:val="标题 7 字符"/>
    <w:basedOn w:val="19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19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19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19"/>
    <w:link w:val="14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19"/>
    <w:link w:val="3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19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明显引用 字符"/>
    <w:basedOn w:val="19"/>
    <w:link w:val="37"/>
    <w:uiPriority w:val="30"/>
    <w:rPr>
      <w:i/>
      <w:iCs/>
      <w:color w:val="104862" w:themeColor="accent1" w:themeShade="BF"/>
    </w:rPr>
  </w:style>
  <w:style w:type="character" w:customStyle="1" w:styleId="39">
    <w:name w:val="明显参考1"/>
    <w:basedOn w:val="19"/>
    <w:qFormat/>
    <w:uiPriority w:val="32"/>
    <w:rPr>
      <w:b/>
      <w:bCs/>
      <w:smallCaps/>
      <w:color w:val="104862" w:themeColor="accent1" w:themeShade="BF"/>
      <w:spacing w:val="5"/>
    </w:rPr>
  </w:style>
  <w:style w:type="character" w:styleId="40">
    <w:name w:val="Placeholder Text"/>
    <w:basedOn w:val="19"/>
    <w:semiHidden/>
    <w:uiPriority w:val="99"/>
    <w:rPr>
      <w:color w:val="666666"/>
    </w:rPr>
  </w:style>
  <w:style w:type="character" w:customStyle="1" w:styleId="41">
    <w:name w:val="页眉 字符"/>
    <w:basedOn w:val="19"/>
    <w:link w:val="13"/>
    <w:uiPriority w:val="99"/>
    <w:rPr>
      <w:rFonts w:ascii="Times New Roman" w:hAnsi="Times New Roman" w:eastAsia="Times New Roman" w:cs="Times New Roman"/>
      <w:color w:val="000000" w:themeColor="text1"/>
      <w:sz w:val="18"/>
      <w:szCs w:val="18"/>
      <w14:textFill>
        <w14:solidFill>
          <w14:schemeClr w14:val="tx1"/>
        </w14:solidFill>
      </w14:textFill>
    </w:rPr>
  </w:style>
  <w:style w:type="character" w:customStyle="1" w:styleId="42">
    <w:name w:val="页脚 字符"/>
    <w:basedOn w:val="19"/>
    <w:link w:val="12"/>
    <w:uiPriority w:val="99"/>
    <w:rPr>
      <w:rFonts w:ascii="Times New Roman" w:hAnsi="Times New Roman" w:eastAsia="Times New Roman" w:cs="Times New Roman"/>
      <w:color w:val="000000" w:themeColor="text1"/>
      <w:sz w:val="18"/>
      <w:szCs w:val="18"/>
      <w14:textFill>
        <w14:solidFill>
          <w14:schemeClr w14:val="tx1"/>
        </w14:solidFill>
      </w14:textFill>
    </w:rPr>
  </w:style>
  <w:style w:type="character" w:customStyle="1" w:styleId="43">
    <w:name w:val="正文文本 字符"/>
    <w:basedOn w:val="19"/>
    <w:link w:val="11"/>
    <w:uiPriority w:val="1"/>
    <w:rPr>
      <w:rFonts w:ascii="Times New Roman" w:hAnsi="Times New Roman" w:eastAsia="Times New Roman" w:cs="Times New Roman"/>
      <w:kern w:val="0"/>
      <w:sz w:val="28"/>
      <w:szCs w:val="28"/>
      <w:lang w:val="ru-RU" w:eastAsia="en-US"/>
    </w:rPr>
  </w:style>
  <w:style w:type="character" w:customStyle="1" w:styleId="44">
    <w:name w:val="math-inline"/>
    <w:basedOn w:val="19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AFC2F2-3D4E-441D-8CC2-29DAFFA613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1000</Words>
  <Characters>7528</Characters>
  <Lines>51</Lines>
  <Paragraphs>14</Paragraphs>
  <TotalTime>15</TotalTime>
  <ScaleCrop>false</ScaleCrop>
  <LinksUpToDate>false</LinksUpToDate>
  <CharactersWithSpaces>8477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2025-12-24T13:02:00Z</dcterms:created>
  <dc:creator>Hi8041</dc:creator>
  <cp:lastModifiedBy>对就是我</cp:lastModifiedBy>
  <dcterms:modified xsi:type="dcterms:W3CDTF">2026-05-08T12:38:48Z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11701413F92648E7AD5271AB259A0ED2_13</vt:lpwstr>
  </property>
  <property fmtid="{D5CDD505-2E9C-101B-9397-08002B2CF9AE}" pid="4" name="KSOTemplateDocerSaveRecord">
    <vt:lpwstr>eyJoZGlkIjoiMDc4NjI3MTE1YjUwOGFlODJiZjEzMjYwZGQ1OGI5NjEiLCJ1c2VySWQiOiIzMTU3NjA1NDgifQ==</vt:lpwstr>
  </property>
</Properties>
</file>