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13372">
        <w:t>9</w:t>
      </w:r>
      <w:r w:rsidR="00214D6C" w:rsidRPr="00872D8B">
        <w:t>월</w:t>
      </w:r>
      <w:r w:rsidR="005D6EB6">
        <w:rPr>
          <w:rFonts w:hint="eastAsia"/>
        </w:rPr>
        <w:t xml:space="preserve"> </w:t>
      </w:r>
      <w:r w:rsidR="00B13372">
        <w:t>30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bookmarkStart w:id="1" w:name="_GoBack"/>
      <w:bookmarkEnd w:id="1"/>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D91260">
        <w:t>“</w:t>
      </w:r>
      <w:r w:rsidR="00D91260">
        <w:rPr>
          <w:rFonts w:hint="eastAsia"/>
        </w:rPr>
        <w:t>카드</w:t>
      </w:r>
      <w:r w:rsidR="00D91260">
        <w:t>”</w:t>
      </w:r>
      <w:r w:rsidR="00D91260">
        <w:rPr>
          <w:rFonts w:hint="eastAsia"/>
        </w:rPr>
        <w:t xml:space="preserve">라는 용어는 </w:t>
      </w:r>
      <w:r w:rsidR="00D91260">
        <w:t>“</w:t>
      </w:r>
      <w:r w:rsidR="00D91260">
        <w:rPr>
          <w:rFonts w:hint="eastAsia"/>
        </w:rPr>
        <w:t>어디에서든</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D91260">
        <w:t>“</w:t>
      </w:r>
      <w:r w:rsidR="00D91260">
        <w:rPr>
          <w:rFonts w:hint="eastAsia"/>
        </w:rPr>
        <w:t>전장에 있는 카드</w:t>
      </w:r>
      <w:r w:rsidR="00D91260">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lastRenderedPageBreak/>
        <w:t>(</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lastRenderedPageBreak/>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lastRenderedPageBreak/>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lastRenderedPageBreak/>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lastRenderedPageBreak/>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lastRenderedPageBreak/>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4966C2">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rule 720, “Handling Illegal Actions”</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rule 720, “Handling Illegal Actions”</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rule 720, “Handling Illegal Actions”</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rule 720, “Handling Illegal Actions”</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lastRenderedPageBreak/>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rule 720, “Handling Illegal Actions”</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lastRenderedPageBreak/>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736D5E">
        <w:t xml:space="preserve">카드가 </w:t>
      </w:r>
      <w:r w:rsidR="00736D5E">
        <w:rPr>
          <w:rFonts w:hint="eastAsia"/>
        </w:rPr>
        <w:t xml:space="preserve">무덤을 떠나거나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lastRenderedPageBreak/>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lastRenderedPageBreak/>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lastRenderedPageBreak/>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lastRenderedPageBreak/>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w:t>
      </w:r>
      <w:r w:rsidRPr="00872D8B">
        <w:lastRenderedPageBreak/>
        <w:t>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lastRenderedPageBreak/>
        <w:t>"~</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lastRenderedPageBreak/>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lastRenderedPageBreak/>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lastRenderedPageBreak/>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t>“</w:t>
      </w:r>
      <w:r>
        <w:rPr>
          <w:rFonts w:hint="eastAsia"/>
        </w:rPr>
        <w:t>모든 비전설 생물 카드의 이름</w:t>
      </w:r>
      <w:r>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lastRenderedPageBreak/>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lastRenderedPageBreak/>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lastRenderedPageBreak/>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w:t>
      </w:r>
      <w:r w:rsidR="00055DCE" w:rsidRPr="00872D8B">
        <w:lastRenderedPageBreak/>
        <w:t>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t>“</w:t>
      </w:r>
      <w:r>
        <w:rPr>
          <w:rFonts w:hint="eastAsia"/>
        </w:rPr>
        <w:t>토큰을 전장에 놓는다</w:t>
      </w:r>
      <w:r>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rule 720, “Handling Illegal Actions”</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t>“</w:t>
      </w:r>
      <w:r>
        <w:rPr>
          <w:rFonts w:hint="eastAsia"/>
        </w:rPr>
        <w:t xml:space="preserve">지원 </w:t>
      </w:r>
      <w:r>
        <w:t>N”</w:t>
      </w:r>
      <w:r>
        <w:rPr>
          <w:rFonts w:hint="eastAsia"/>
        </w:rPr>
        <w:t xml:space="preserve">은 </w:t>
      </w:r>
      <w:r w:rsidR="007E031A">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t>”</w:t>
      </w:r>
      <w:r>
        <w:rPr>
          <w:rFonts w:hint="eastAsia"/>
        </w:rPr>
        <w:t>를 의미합니다.</w:t>
      </w:r>
      <w:r>
        <w:t xml:space="preserve"> </w:t>
      </w:r>
      <w:r>
        <w:rPr>
          <w:rFonts w:hint="eastAsia"/>
        </w:rPr>
        <w:t xml:space="preserve">순간마법이나 집중마법 주문에 있는 </w:t>
      </w:r>
      <w:r>
        <w:t>“</w:t>
      </w:r>
      <w:r>
        <w:rPr>
          <w:rFonts w:hint="eastAsia"/>
        </w:rPr>
        <w:t xml:space="preserve">지원 </w:t>
      </w:r>
      <w:r>
        <w:t>N”</w:t>
      </w:r>
      <w:r>
        <w:rPr>
          <w:rFonts w:hint="eastAsia"/>
        </w:rPr>
        <w:t xml:space="preserve">은 </w:t>
      </w:r>
      <w:r w:rsidR="007E031A">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7E031A">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t>“</w:t>
      </w:r>
      <w:r>
        <w:rPr>
          <w:rFonts w:hint="eastAsia"/>
        </w:rPr>
        <w:t>조사한다</w:t>
      </w:r>
      <w:r>
        <w:t>”</w:t>
      </w:r>
      <w:r>
        <w:rPr>
          <w:rFonts w:hint="eastAsia"/>
        </w:rPr>
        <w:t xml:space="preserve">는 </w:t>
      </w:r>
      <w:r>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t>“[</w:t>
      </w:r>
      <w:r>
        <w:rPr>
          <w:rFonts w:hint="eastAsia"/>
        </w:rPr>
        <w:t>키워드 능력]</w:t>
      </w:r>
      <w:r>
        <w:t xml:space="preserve"> </w:t>
      </w:r>
      <w:r>
        <w:rPr>
          <w:rFonts w:hint="eastAsia"/>
        </w:rPr>
        <w:t>비용</w:t>
      </w:r>
      <w:r>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“bands with other [quality]”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lastRenderedPageBreak/>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lastRenderedPageBreak/>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lastRenderedPageBreak/>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F82891">
        <w:rPr>
          <w:rFonts w:hint="eastAsia"/>
        </w:rPr>
        <w:t>각성 N</w:t>
      </w:r>
      <w:r w:rsidR="00F82891" w:rsidRPr="00F82891">
        <w:rPr>
          <w:rFonts w:hint="eastAsia"/>
        </w:rPr>
        <w:t>—</w:t>
      </w:r>
      <w:r w:rsidR="00F82891">
        <w:rPr>
          <w:rFonts w:hint="eastAsia"/>
        </w:rPr>
        <w:t>[비용]</w:t>
      </w:r>
      <w:r w:rsidR="00F82891">
        <w:t>”</w:t>
      </w:r>
      <w:r w:rsidR="00F82891">
        <w:rPr>
          <w:rFonts w:hint="eastAsia"/>
        </w:rPr>
        <w:t xml:space="preserve">은 </w:t>
      </w:r>
      <w:r w:rsidR="00F82891">
        <w:t>“</w:t>
      </w:r>
      <w:r w:rsidR="00F82891">
        <w:rPr>
          <w:rFonts w:hint="eastAsia"/>
        </w:rPr>
        <w:t xml:space="preserve">이 주문의 마나 비용 대신 </w:t>
      </w:r>
      <w:r w:rsidR="00F82891">
        <w:t>[</w:t>
      </w:r>
      <w:r w:rsidR="00F82891">
        <w:rPr>
          <w:rFonts w:hint="eastAsia"/>
        </w:rPr>
        <w:t>비용]을 지불하고 이 주문을 발동할 수 있다.</w:t>
      </w:r>
      <w:r w:rsidR="00F82891">
        <w:t>”</w:t>
      </w:r>
      <w:r w:rsidR="00F82891">
        <w:rPr>
          <w:rFonts w:hint="eastAsia"/>
        </w:rPr>
        <w:t xml:space="preserve">와 </w:t>
      </w:r>
      <w:r w:rsidR="00F82891">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F82891">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F82891">
        <w:rPr>
          <w:rFonts w:hint="eastAsia"/>
        </w:rPr>
        <w:t>결여</w:t>
      </w:r>
      <w:r w:rsidR="00F82891">
        <w:t>”</w:t>
      </w:r>
      <w:r w:rsidR="00F82891">
        <w:rPr>
          <w:rFonts w:hint="eastAsia"/>
        </w:rPr>
        <w:t xml:space="preserve">는 </w:t>
      </w:r>
      <w:r w:rsidR="00F82891">
        <w:t>“</w:t>
      </w:r>
      <w:r w:rsidR="00F82891">
        <w:rPr>
          <w:rFonts w:hint="eastAsia"/>
        </w:rPr>
        <w:t>이 개체는 무색이다</w:t>
      </w:r>
      <w:r w:rsidR="00F82891">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F82891">
        <w:rPr>
          <w:rFonts w:hint="eastAsia"/>
        </w:rPr>
        <w:t>섭식</w:t>
      </w:r>
      <w:r w:rsidR="00F82891">
        <w:t>”</w:t>
      </w:r>
      <w:r w:rsidR="00F82891">
        <w:rPr>
          <w:rFonts w:hint="eastAsia"/>
        </w:rPr>
        <w:t xml:space="preserve">은 </w:t>
      </w:r>
      <w:r w:rsidR="00F82891">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F82891">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C649D2">
        <w:rPr>
          <w:rFonts w:hint="eastAsia"/>
        </w:rPr>
        <w:t>Myriad</w:t>
      </w:r>
      <w:r w:rsidR="00C649D2">
        <w:t>”</w:t>
      </w:r>
      <w:r w:rsidR="00C649D2">
        <w:rPr>
          <w:rFonts w:hint="eastAsia"/>
        </w:rPr>
        <w:t xml:space="preserve">는 </w:t>
      </w:r>
      <w:r w:rsidR="00C649D2">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C649D2">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AE084B">
        <w:rPr>
          <w:rFonts w:hint="eastAsia"/>
        </w:rPr>
        <w:t xml:space="preserve">격동 </w:t>
      </w:r>
      <w:r w:rsidR="00AE084B">
        <w:t>[</w:t>
      </w:r>
      <w:r w:rsidR="00AE084B">
        <w:rPr>
          <w:rFonts w:hint="eastAsia"/>
        </w:rPr>
        <w:t>비용]</w:t>
      </w:r>
      <w:r w:rsidR="00AE084B">
        <w:t>”</w:t>
      </w:r>
      <w:r w:rsidR="00AE084B">
        <w:rPr>
          <w:rFonts w:hint="eastAsia"/>
        </w:rPr>
        <w:t xml:space="preserve">은 </w:t>
      </w:r>
      <w:r w:rsidR="00AE084B">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AE084B">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Pr>
          <w:rFonts w:hint="eastAsia"/>
        </w:rPr>
        <w:t>Melee</w:t>
      </w:r>
      <w:r>
        <w:t>”</w:t>
      </w:r>
      <w:r>
        <w:rPr>
          <w:rFonts w:hint="eastAsia"/>
        </w:rPr>
        <w:t xml:space="preserve">는 </w:t>
      </w:r>
      <w:r>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Pr>
          <w:rFonts w:hint="eastAsia"/>
        </w:rPr>
        <w:t xml:space="preserve">탑승 </w:t>
      </w:r>
      <w:r>
        <w:t>N”</w:t>
      </w:r>
      <w:r>
        <w:rPr>
          <w:rFonts w:hint="eastAsia"/>
        </w:rPr>
        <w:t xml:space="preserve">은 </w:t>
      </w:r>
      <w:r>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t>“</w:t>
      </w:r>
      <w:r>
        <w:rPr>
          <w:rFonts w:hint="eastAsia"/>
        </w:rPr>
        <w:t>탑승물에 탑승</w:t>
      </w:r>
      <w:r>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702.121c “</w:t>
      </w:r>
      <w:r>
        <w:rPr>
          <w:rFonts w:hint="eastAsia"/>
        </w:rPr>
        <w:t>탑승물에 탑승할 수 없다</w:t>
      </w:r>
      <w:r>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3B52BC">
        <w:rPr>
          <w:rFonts w:hint="eastAsia"/>
        </w:rPr>
        <w:t>제작</w:t>
      </w:r>
      <w:r>
        <w:rPr>
          <w:rFonts w:hint="eastAsia"/>
        </w:rPr>
        <w:t xml:space="preserve"> </w:t>
      </w:r>
      <w:r>
        <w:t>N”</w:t>
      </w:r>
      <w:r>
        <w:rPr>
          <w:rFonts w:hint="eastAsia"/>
        </w:rPr>
        <w:t xml:space="preserve">은 </w:t>
      </w:r>
      <w:r>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t>“</w:t>
      </w:r>
      <w:r>
        <w:rPr>
          <w:rFonts w:hint="eastAsia"/>
        </w:rPr>
        <w:t>탑승물에 탑승</w:t>
      </w:r>
      <w:r>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B1946" w:rsidRPr="009829E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lastRenderedPageBreak/>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w:t>
      </w:r>
      <w:r w:rsidR="00A02B6C" w:rsidRPr="00872D8B">
        <w:lastRenderedPageBreak/>
        <w:t>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lastRenderedPageBreak/>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lastRenderedPageBreak/>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lastRenderedPageBreak/>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FB519E" w:rsidRPr="00FB519E">
        <w:rPr>
          <w:rFonts w:hint="eastAsia"/>
        </w:rPr>
        <w:t>참조한다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lastRenderedPageBreak/>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71</w:t>
      </w:r>
      <w:r w:rsidR="001109EC">
        <w:t>9</w:t>
      </w:r>
      <w:r w:rsidRPr="00872D8B">
        <w:t xml:space="preserve">.2.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1109EC" w:rsidRDefault="00875384" w:rsidP="00875384">
      <w:pPr>
        <w:pStyle w:val="CR1001"/>
        <w:jc w:val="both"/>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lastRenderedPageBreak/>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5B3" w:rsidRDefault="002C75B3" w:rsidP="00DD2790">
      <w:r>
        <w:separator/>
      </w:r>
    </w:p>
  </w:endnote>
  <w:endnote w:type="continuationSeparator" w:id="0">
    <w:p w:rsidR="002C75B3" w:rsidRDefault="002C75B3"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5B3" w:rsidRDefault="002C75B3" w:rsidP="00DD2790">
      <w:r>
        <w:separator/>
      </w:r>
    </w:p>
  </w:footnote>
  <w:footnote w:type="continuationSeparator" w:id="0">
    <w:p w:rsidR="002C75B3" w:rsidRDefault="002C75B3"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42B5F"/>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73D4"/>
    <w:rsid w:val="00F3033B"/>
    <w:rsid w:val="00F3107E"/>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750C38-785C-42CB-88A7-20F5F2DB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208</Pages>
  <Words>48087</Words>
  <Characters>274102</Characters>
  <Application>Microsoft Office Word</Application>
  <DocSecurity>0</DocSecurity>
  <Lines>2284</Lines>
  <Paragraphs>643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44</cp:revision>
  <cp:lastPrinted>2014-03-20T11:14:00Z</cp:lastPrinted>
  <dcterms:created xsi:type="dcterms:W3CDTF">2015-04-29T02:23:00Z</dcterms:created>
  <dcterms:modified xsi:type="dcterms:W3CDTF">2016-11-11T10:15:00Z</dcterms:modified>
</cp:coreProperties>
</file>