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398D3">
      <w:pPr>
        <w:pStyle w:val="7"/>
        <w:spacing w:before="0" w:after="0" w:line="560" w:lineRule="exact"/>
        <w:ind w:left="0" w:firstLine="880" w:firstLineChars="200"/>
        <w:rPr>
          <w:rFonts w:hint="eastAsia" w:ascii="方正小标宋_GBK" w:hAnsi="方正小标宋_GBK" w:eastAsia="方正小标宋_GBK" w:cs="方正小标宋_GBK"/>
          <w:b w:val="0"/>
          <w:bCs w:val="0"/>
          <w:color w:val="000000"/>
          <w:kern w:val="0"/>
          <w:sz w:val="44"/>
          <w:szCs w:val="44"/>
          <w:lang w:val="en-US" w:eastAsia="zh-CN" w:bidi="ar"/>
        </w:rPr>
      </w:pPr>
      <w:bookmarkStart w:id="0" w:name="_Toc149916909"/>
      <w:bookmarkStart w:id="1" w:name="_Toc98512975"/>
      <w:r>
        <w:rPr>
          <w:rFonts w:hint="default" w:ascii="方正小标宋_GBK" w:hAnsi="方正小标宋_GBK" w:eastAsia="方正小标宋_GBK" w:cs="方正小标宋_GBK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XXXXXXXXXXXXX</w:t>
      </w:r>
      <w:r>
        <w:rPr>
          <w:rFonts w:hint="eastAsia" w:ascii="方正小标宋_GBK" w:hAnsi="方正小标宋_GBK" w:eastAsia="方正小标宋_GBK" w:cs="方正小标宋_GBK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网络与</w:t>
      </w:r>
    </w:p>
    <w:p w14:paraId="689C653C">
      <w:pPr>
        <w:pStyle w:val="7"/>
        <w:spacing w:before="0" w:after="0" w:line="560" w:lineRule="exact"/>
        <w:ind w:left="0" w:firstLine="880" w:firstLineChars="200"/>
        <w:rPr>
          <w:rFonts w:hint="eastAsia" w:ascii="方正小标宋_GBK" w:hAnsi="方正小标宋_GBK" w:eastAsia="方正小标宋_GBK" w:cs="方正小标宋_GBK"/>
          <w:b w:val="0"/>
          <w:bCs w:val="0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数据安全管理</w:t>
      </w:r>
      <w:bookmarkEnd w:id="0"/>
      <w:bookmarkEnd w:id="1"/>
      <w:r>
        <w:rPr>
          <w:rFonts w:hint="eastAsia" w:ascii="方正小标宋_GBK" w:hAnsi="方正小标宋_GBK" w:eastAsia="方正小标宋_GBK" w:cs="方正小标宋_GBK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办法</w:t>
      </w:r>
    </w:p>
    <w:p w14:paraId="2C66444C">
      <w:pPr>
        <w:pStyle w:val="7"/>
        <w:spacing w:before="0" w:after="0" w:line="560" w:lineRule="exact"/>
        <w:ind w:left="0" w:firstLine="880" w:firstLineChars="200"/>
        <w:rPr>
          <w:rFonts w:hint="eastAsia" w:ascii="方正小标宋_GBK" w:hAnsi="方正小标宋_GBK" w:eastAsia="方正小标宋_GBK" w:cs="方正小标宋_GBK"/>
          <w:b w:val="0"/>
          <w:bCs w:val="0"/>
          <w:color w:val="000000"/>
          <w:kern w:val="0"/>
          <w:sz w:val="44"/>
          <w:szCs w:val="44"/>
          <w:lang w:val="en-US" w:eastAsia="zh-CN" w:bidi="ar"/>
        </w:rPr>
      </w:pPr>
    </w:p>
    <w:p w14:paraId="44F8B2EA">
      <w:pPr>
        <w:pStyle w:val="2"/>
        <w:numPr>
          <w:ilvl w:val="0"/>
          <w:numId w:val="0"/>
        </w:numPr>
        <w:tabs>
          <w:tab w:val="left" w:pos="360"/>
        </w:tabs>
        <w:spacing w:before="0" w:after="0" w:line="560" w:lineRule="exact"/>
        <w:ind w:leftChars="0" w:firstLine="643" w:firstLineChars="200"/>
        <w:jc w:val="center"/>
        <w:rPr>
          <w:rFonts w:hint="eastAsia" w:ascii="黑体" w:hAnsi="黑体" w:eastAsia="黑体" w:cs="黑体"/>
        </w:rPr>
      </w:pPr>
      <w:bookmarkStart w:id="2" w:name="_Toc98512976"/>
      <w:bookmarkStart w:id="3" w:name="_Toc149916910"/>
      <w:r>
        <w:rPr>
          <w:rFonts w:hint="eastAsia" w:ascii="黑体" w:hAnsi="黑体" w:eastAsia="黑体" w:cs="黑体"/>
          <w:lang w:eastAsia="zh-CN"/>
        </w:rPr>
        <w:t>第一章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</w:rPr>
        <w:t>总则</w:t>
      </w:r>
      <w:bookmarkEnd w:id="2"/>
      <w:bookmarkEnd w:id="3"/>
    </w:p>
    <w:p w14:paraId="2CCA4FB0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第一条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为保障</w:t>
      </w: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XXXXXXXXXXXXX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（以下简称“</w:t>
      </w: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XXXXX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”）网络与数据安全，根据《中华人民共和国网络安全法》《中华人民共和国数据安全法》《中华人民共和国个人信息保护法》《党委（党组）网络安全工作责任制实施办法》《关键基础设施安全保护条例》《信息安全技术 网络安全事件分类分级指南》（GB/T 20986-2023）《信息安全技术 网络安全等级保护基本要求》（GB/T 22239-2019）</w:t>
      </w: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《福建省网络安全工作责任制实施细则》（闽委网信委〔2026〕3号）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《福建省政务数据管理办法》等安全相关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法律和文件要求，结合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XXXXX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实际情况制定本管理办法。</w:t>
      </w:r>
    </w:p>
    <w:p w14:paraId="5FEF1700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3" w:firstLineChars="200"/>
        <w:textAlignment w:val="auto"/>
        <w:rPr>
          <w:rFonts w:hint="eastAsia" w:ascii="仿宋_GB2312" w:hAnsi="仿宋_GB2312" w:eastAsia="仿宋_GB2312" w:cs="仿宋_GB2312"/>
          <w:color w:val="FF0000"/>
          <w:kern w:val="0"/>
          <w:sz w:val="32"/>
          <w:szCs w:val="32"/>
          <w:lang w:val="en-US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32"/>
          <w:szCs w:val="32"/>
          <w:lang w:val="en-US" w:bidi="ar"/>
          <w14:textFill>
            <w14:solidFill>
              <w14:schemeClr w14:val="tx1"/>
            </w14:solidFill>
          </w14:textFill>
        </w:rPr>
        <w:t xml:space="preserve">第二条 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本办法适用于</w:t>
      </w: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XXXXX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各处室（局）的网络与数据安全管理工作。厅派出机构和直属单位参照执行。</w:t>
      </w:r>
    </w:p>
    <w:p w14:paraId="0D1AA3A6">
      <w:pPr>
        <w:pStyle w:val="18"/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3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bidi="ar"/>
        </w:rPr>
        <w:t>第三条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bidi="ar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本办法所称网络安全，是指</w:t>
      </w: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XXXXX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政务网络、终端设备、政务信息系统等的安全防护。本办法所称数据安全，是指</w:t>
      </w: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XXXXX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各处室（局）在依法履职过程中生产或采集的各类政务信息数据的安全保障，包括但不限于政务业务数据、统计数据、个人信息、涉密信息等。【参考：《中华人民共和国网络安全法》第三章第三十三条、《关键信息基础设施安全保护条例》第一章第二条、《中华人民共和国数据安全法》第一章第三条、《中华人民共和国个人信息保护法》第一章第四条】</w:t>
      </w:r>
    </w:p>
    <w:p w14:paraId="538DECC5">
      <w:pPr>
        <w:numPr>
          <w:ilvl w:val="-1"/>
          <w:numId w:val="0"/>
        </w:numPr>
        <w:spacing w:line="600" w:lineRule="exact"/>
        <w:ind w:left="0" w:firstLine="643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第四条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各处室（局）应遵循“谁主管谁负责”的要求，组织对各自建设运行的政务信息系统开展网络与数据安全监测工作。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【《党委（党组）网络安全工作责任制实施办法》第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  <w:t>三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条、《福建省网络安全工作责任制实施细则》（闽委网信委〔2026〕3号）第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  <w:t>三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条】</w:t>
      </w:r>
    </w:p>
    <w:p w14:paraId="1B065F16">
      <w:pPr>
        <w:numPr>
          <w:ilvl w:val="-1"/>
          <w:numId w:val="0"/>
        </w:numPr>
        <w:spacing w:line="600" w:lineRule="exact"/>
        <w:ind w:left="0" w:firstLine="643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第五条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网络与数据安全工作遵循同步规划、同步建设、同步使用原则，坚持技术与管理相结合、预防为主、应急处置为辅，实现网络与数据安全闭环管理。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【参考：《中华人民共和国网络安全法》第一章第八条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第三章第二十七条、第三十三条、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《党委（党组）网络安全工作责任制实施办法》第五条、《福建省网络安全工作责任制实施细则》（闽委网信委〔2026〕3号）第五条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  <w:t>、第七条、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《关键信息基础设施安全保护条例》第二章第十一条】</w:t>
      </w:r>
    </w:p>
    <w:p w14:paraId="38D34088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229D639C">
      <w:pPr>
        <w:pStyle w:val="2"/>
        <w:numPr>
          <w:ilvl w:val="0"/>
          <w:numId w:val="0"/>
        </w:numPr>
        <w:tabs>
          <w:tab w:val="left" w:pos="360"/>
        </w:tabs>
        <w:spacing w:before="0" w:after="0" w:line="600" w:lineRule="exact"/>
        <w:ind w:leftChars="0" w:firstLine="643" w:firstLineChars="20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第二章 相关机构和权责</w:t>
      </w:r>
    </w:p>
    <w:p w14:paraId="61BCC979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第六条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XXXXX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成立网络与数据安全工作领导小组（以下简称"领导小组"），由厅主要领导担任组长，分管厅办公室和技术中心的厅领导担任副组长，各处室（局）、技术中心主要负责人为小组成员。</w:t>
      </w:r>
      <w:r>
        <w:rPr>
          <w:rFonts w:ascii="仿宋_GB2312" w:hAnsi="仿宋_GB2312" w:eastAsia="仿宋_GB2312"/>
          <w:color w:val="000000"/>
          <w:sz w:val="32"/>
        </w:rPr>
        <w:t>领导小组主要职责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bidi="ar"/>
        </w:rPr>
        <w:t>【参考：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  <w:t>《</w:t>
      </w: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XXXXXXXXXXXXX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  <w:t>关于调整充实机关网络安全工作领导小组的通知》闽工信办函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〔202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5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〕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12号、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bidi="ar"/>
        </w:rPr>
        <w:t>《党委（党组）网络安全工作责任制实施办法》第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一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bidi="ar"/>
        </w:rPr>
        <w:t>条、《中华人民共和国网络安全法》第一章第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九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bidi="ar"/>
        </w:rPr>
        <w:t>条、《福建省网络安全工作责任制实施细则》（闽委网信委〔2026〕3号）第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四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bidi="ar"/>
        </w:rPr>
        <w:t>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、第五条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bidi="ar"/>
        </w:rPr>
        <w:t>】</w:t>
      </w:r>
    </w:p>
    <w:p w14:paraId="5D3279F0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（一）统筹协调各处室（局）、派出机构和直属单位网络与数据安全工作；</w:t>
      </w:r>
    </w:p>
    <w:p w14:paraId="6B52F6BD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（二）督促各处室（局）、派出机构和直属单位开展政务信息系统的定级备案和安全测评工作；</w:t>
      </w:r>
    </w:p>
    <w:p w14:paraId="6E835C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left"/>
        <w:textAlignment w:val="auto"/>
        <w:rPr>
          <w:rFonts w:hint="eastAsia" w:ascii="仿宋_GB2312" w:hAnsi="黑体" w:eastAsia="仿宋_GB2312" w:cs="黑体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（三）</w:t>
      </w:r>
      <w:r>
        <w:rPr>
          <w:rFonts w:hint="eastAsia" w:ascii="仿宋_GB2312" w:hAnsi="黑体" w:eastAsia="仿宋_GB2312" w:cs="黑体"/>
          <w:bCs/>
          <w:sz w:val="32"/>
          <w:szCs w:val="32"/>
        </w:rPr>
        <w:t>协调处理</w:t>
      </w:r>
      <w:r>
        <w:rPr>
          <w:rFonts w:hint="eastAsia" w:ascii="仿宋_GB2312" w:hAnsi="黑体" w:eastAsia="仿宋_GB2312" w:cs="黑体"/>
          <w:bCs/>
          <w:sz w:val="32"/>
          <w:szCs w:val="32"/>
          <w:lang w:eastAsia="zh-CN"/>
        </w:rPr>
        <w:t>厅机关网络与数据安全</w:t>
      </w:r>
      <w:r>
        <w:rPr>
          <w:rFonts w:hint="eastAsia" w:ascii="仿宋_GB2312" w:hAnsi="黑体" w:eastAsia="仿宋_GB2312" w:cs="黑体"/>
          <w:bCs/>
          <w:sz w:val="32"/>
          <w:szCs w:val="32"/>
        </w:rPr>
        <w:t>工作中出现的问题；</w:t>
      </w:r>
    </w:p>
    <w:p w14:paraId="7A45C8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黑体" w:eastAsia="仿宋_GB2312" w:cs="黑体"/>
          <w:bCs/>
          <w:sz w:val="32"/>
          <w:szCs w:val="32"/>
          <w:lang w:eastAsia="zh-CN"/>
        </w:rPr>
        <w:t>（四）</w:t>
      </w:r>
      <w:r>
        <w:rPr>
          <w:rFonts w:hint="eastAsia" w:ascii="仿宋_GB2312" w:hAnsi="黑体" w:eastAsia="仿宋_GB2312" w:cs="黑体"/>
          <w:bCs/>
          <w:sz w:val="32"/>
          <w:szCs w:val="32"/>
        </w:rPr>
        <w:t>开展</w:t>
      </w:r>
      <w:r>
        <w:rPr>
          <w:rFonts w:hint="eastAsia" w:ascii="仿宋_GB2312" w:hAnsi="黑体" w:eastAsia="仿宋_GB2312" w:cs="黑体"/>
          <w:bCs/>
          <w:sz w:val="32"/>
          <w:szCs w:val="32"/>
          <w:lang w:eastAsia="zh-CN"/>
        </w:rPr>
        <w:t>厅机关网络与数据安全</w:t>
      </w:r>
      <w:r>
        <w:rPr>
          <w:rFonts w:hint="eastAsia" w:ascii="仿宋_GB2312" w:hAnsi="黑体" w:eastAsia="仿宋_GB2312" w:cs="黑体"/>
          <w:bCs/>
          <w:sz w:val="32"/>
          <w:szCs w:val="32"/>
        </w:rPr>
        <w:t>检查、宣传培训工作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；</w:t>
      </w:r>
    </w:p>
    <w:p w14:paraId="75E79E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（五）完善厅机关网络与数据安全组织体系建设。</w:t>
      </w:r>
    </w:p>
    <w:p w14:paraId="1DD4A471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第七条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领导小组日常工作由厅办公室负责协调，技术中心承担相关技术支撑保障工作。</w:t>
      </w:r>
    </w:p>
    <w:p w14:paraId="7CBD4E5B">
      <w:pPr>
        <w:spacing w:line="600" w:lineRule="exact"/>
        <w:ind w:firstLine="643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第八条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各处室（局）、派出机构和直属单位主要责任人是各处室（局）、单位网络与数据安全工作的第一责任人，督促本处室（局）、单位工作人员严格遵守相关安全工作制度，认真落实网络与数据安全相关工作，履行自建政务信息系统网络与数据安全工作主体责任。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【参考：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  <w:t>《</w:t>
      </w: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XXXXXXXXXXXXX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  <w:t>关于调整充实机关网络安全工作领导小组的通知》闽工信办函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〔202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5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〕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12号、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《党委（党组）网络安全工作责任制实施办法》第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  <w:t>九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《福建省网络安全工作责任制实施细则》（闽委网信委〔2026〕3号）第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  <w:t>四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条】</w:t>
      </w:r>
    </w:p>
    <w:p w14:paraId="0ED225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0F635CAE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firstLine="643" w:firstLineChars="200"/>
        <w:jc w:val="center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2"/>
          <w:sz w:val="32"/>
          <w:szCs w:val="32"/>
          <w:lang w:val="en-US" w:eastAsia="zh-CN" w:bidi="ar"/>
        </w:rPr>
        <w:t>网络与边界安全管理</w:t>
      </w:r>
    </w:p>
    <w:p w14:paraId="134FB024">
      <w:pPr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"/>
        </w:rPr>
        <w:t xml:space="preserve">第九条 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厅机关内外网均为非涉密网络，通过隔离卡实现物理隔离，严禁在非涉密网络中存储、处理、传输涉密信息。</w:t>
      </w:r>
      <w:r>
        <w:rPr>
          <w:rFonts w:hint="eastAsia" w:ascii="仿宋_GB2312" w:hAnsi="仿宋_GB2312" w:eastAsia="仿宋_GB2312" w:cs="仿宋_GB2312"/>
          <w:sz w:val="32"/>
        </w:rPr>
        <w:t>【参考：《信息安全技术 网络安全等级保护基本要求》（GB/T 22239-2019）8.1.3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安全区域边界</w:t>
      </w:r>
      <w:r>
        <w:rPr>
          <w:rFonts w:hint="eastAsia" w:ascii="仿宋_GB2312" w:hAnsi="仿宋_GB2312" w:eastAsia="仿宋_GB2312" w:cs="仿宋_GB2312"/>
          <w:sz w:val="32"/>
        </w:rPr>
        <w:t>、《中华人民共和国保守国家秘密法》第三章第二十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六</w:t>
      </w:r>
      <w:r>
        <w:rPr>
          <w:rFonts w:hint="eastAsia" w:ascii="仿宋_GB2312" w:hAnsi="仿宋_GB2312" w:eastAsia="仿宋_GB2312" w:cs="仿宋_GB2312"/>
          <w:sz w:val="32"/>
        </w:rPr>
        <w:t>条】</w:t>
      </w:r>
    </w:p>
    <w:p w14:paraId="4A097FB6">
      <w:pPr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"/>
        </w:rPr>
        <w:t>第十条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"/>
        </w:rPr>
        <w:t xml:space="preserve"> 网络边界应部署防火墙、入侵检测/入侵防御、日志审计等安全设备，互联网还应部署上网行为管理等设备，严格策略配置，定期更新规则库。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bidi="ar"/>
        </w:rPr>
        <w:t>【参考：《中华人民共和国网络安全法》第三章第二十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 w:bidi="ar"/>
        </w:rPr>
        <w:t>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bidi="ar"/>
        </w:rPr>
        <w:t>条、《信息安全技术 网络安全等级保护基本要求》（GB/T 22239-2019）</w:t>
      </w:r>
      <w:r>
        <w:rPr>
          <w:rFonts w:hint="eastAsia" w:ascii="仿宋_GB2312" w:hAnsi="仿宋_GB2312" w:eastAsia="仿宋_GB2312" w:cs="仿宋_GB2312"/>
          <w:sz w:val="32"/>
        </w:rPr>
        <w:t>8.1.3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安全区域边界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bidi="ar"/>
        </w:rPr>
        <w:t>】</w:t>
      </w:r>
    </w:p>
    <w:p w14:paraId="270E456A">
      <w:pPr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"/>
        </w:rPr>
        <w:t xml:space="preserve">第十一条 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厅机关网络和终端设备由技术中心负责统一接入。严禁私自更改网络拓扑、私自接入路由器、无线网卡等网络设备。</w:t>
      </w:r>
      <w:r>
        <w:rPr>
          <w:rFonts w:hint="eastAsia" w:ascii="仿宋_GB2312" w:hAnsi="仿宋_GB2312" w:eastAsia="仿宋_GB2312" w:cs="仿宋_GB2312"/>
          <w:sz w:val="32"/>
        </w:rPr>
        <w:t>【参考：《中华人民共和国网络安全法》第三章第二十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三</w:t>
      </w:r>
      <w:r>
        <w:rPr>
          <w:rFonts w:hint="eastAsia" w:ascii="仿宋_GB2312" w:hAnsi="仿宋_GB2312" w:eastAsia="仿宋_GB2312" w:cs="仿宋_GB2312"/>
          <w:sz w:val="32"/>
        </w:rPr>
        <w:t>条、《信息安全技术 网络安全等级保护基本要求》（GB/T 22239-2019）8.1.</w:t>
      </w:r>
      <w:r>
        <w:rPr>
          <w:rFonts w:hint="eastAsia" w:ascii="仿宋_GB2312" w:hAnsi="仿宋_GB2312" w:eastAsia="仿宋_GB2312" w:cs="仿宋_GB2312"/>
          <w:sz w:val="32"/>
          <w:lang w:val="en-US" w:eastAsia="zh-CN"/>
        </w:rPr>
        <w:t>3</w:t>
      </w:r>
      <w:r>
        <w:rPr>
          <w:rFonts w:hint="default" w:ascii="仿宋_GB2312" w:hAnsi="仿宋_GB2312" w:eastAsia="仿宋_GB2312" w:cs="仿宋_GB2312"/>
          <w:sz w:val="32"/>
          <w:lang w:val="en" w:eastAsia="zh-CN"/>
        </w:rPr>
        <w:t>.3</w:t>
      </w:r>
      <w:r>
        <w:rPr>
          <w:rFonts w:hint="eastAsia" w:ascii="仿宋_GB2312" w:hAnsi="仿宋_GB2312" w:eastAsia="仿宋_GB2312" w:cs="仿宋_GB2312"/>
          <w:sz w:val="32"/>
        </w:rPr>
        <w:t>入侵防范】</w:t>
      </w:r>
    </w:p>
    <w:p w14:paraId="0F78B528">
      <w:pPr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32"/>
          <w:lang w:val="en-US" w:eastAsia="zh-CN" w:bidi="ar"/>
        </w:rPr>
        <w:t>第十二条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"/>
        </w:rPr>
        <w:t>技术中心应制定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"/>
        </w:rPr>
        <w:t>设备间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"/>
        </w:rPr>
        <w:t>安全管理制度，规范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"/>
        </w:rPr>
        <w:t>设备间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"/>
        </w:rPr>
        <w:t>出入和相关操作流程。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【参考：《中华人民共和国网络安全法》第三章第二十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 w:bidi="ar"/>
        </w:rPr>
        <w:t>三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bidi="ar"/>
        </w:rPr>
        <w:t>《信息安全技术 网络安全等级保护基本要求》（GB/T 22239-2019）8.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 w:bidi="ar"/>
        </w:rPr>
        <w:t>1.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bidi="ar"/>
        </w:rPr>
        <w:t>1.2物理访问控制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】</w:t>
      </w:r>
    </w:p>
    <w:p w14:paraId="66E519FA">
      <w:pPr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"/>
        </w:rPr>
        <w:t>第十三条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"/>
        </w:rPr>
        <w:t xml:space="preserve"> 办公室会同技术中心委托网络安全服务公司对厅机关的防火墙、交换机等关键信息设施每年至少进行一次网络安全检测和风险评估，对发现的安全问题及时整改，并报送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"/>
        </w:rPr>
        <w:t>XXXXX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"/>
        </w:rPr>
        <w:t>网络安全领导小组。</w:t>
      </w:r>
      <w:r>
        <w:rPr>
          <w:rFonts w:hint="eastAsia" w:ascii="仿宋_GB2312" w:hAnsi="仿宋_GB2312" w:eastAsia="仿宋_GB2312" w:cs="仿宋_GB2312"/>
          <w:sz w:val="32"/>
        </w:rPr>
        <w:t>【参考：《关键信息基础设施安全保护条例》第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三</w:t>
      </w:r>
      <w:r>
        <w:rPr>
          <w:rFonts w:hint="eastAsia" w:ascii="仿宋_GB2312" w:hAnsi="仿宋_GB2312" w:eastAsia="仿宋_GB2312" w:cs="仿宋_GB2312"/>
          <w:sz w:val="32"/>
        </w:rPr>
        <w:t>章第十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七</w:t>
      </w:r>
      <w:r>
        <w:rPr>
          <w:rFonts w:hint="eastAsia" w:ascii="仿宋_GB2312" w:hAnsi="仿宋_GB2312" w:eastAsia="仿宋_GB2312" w:cs="仿宋_GB2312"/>
          <w:sz w:val="32"/>
        </w:rPr>
        <w:t>条】</w:t>
      </w:r>
    </w:p>
    <w:p w14:paraId="2A13CEFD">
      <w:pPr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22"/>
          <w:lang w:val="en-US" w:eastAsia="zh-CN" w:bidi="ar"/>
        </w:rPr>
      </w:pPr>
    </w:p>
    <w:p w14:paraId="57E856E0">
      <w:pPr>
        <w:pStyle w:val="2"/>
        <w:numPr>
          <w:ilvl w:val="0"/>
          <w:numId w:val="0"/>
        </w:numPr>
        <w:tabs>
          <w:tab w:val="left" w:pos="360"/>
        </w:tabs>
        <w:spacing w:before="0" w:after="0" w:line="600" w:lineRule="exact"/>
        <w:ind w:leftChars="0" w:firstLine="643" w:firstLineChars="20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第四章 终端与账号安全管理</w:t>
      </w:r>
    </w:p>
    <w:p w14:paraId="570F986E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第十四条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lang w:val="en-US" w:eastAsia="zh-CN" w:bidi="ar"/>
        </w:rPr>
        <w:t>办公终端实行统一管理，由技术中心统一安装终端软件，定期更新补丁和病毒库，严禁私自安装盗版软件，终端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 w:bidi="ar"/>
        </w:rPr>
        <w:t>严禁使用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U盘、移动硬盘等外部可移动存储介质。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bidi="ar"/>
        </w:rPr>
        <w:t>严禁在办公区域私自搭建无线局域网（Wi-Fi）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bidi="ar"/>
        </w:rPr>
        <w:t>禁止连接公共Wi-Fi处理公务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lang w:val="en-US" w:eastAsia="zh-CN" w:bidi="ar"/>
        </w:rPr>
        <w:t>。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bidi="ar"/>
        </w:rPr>
        <w:t>【参考：《中华人民共和国网络安全法》第三章第二十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 w:bidi="ar"/>
        </w:rPr>
        <w:t>三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bidi="ar"/>
        </w:rPr>
        <w:t>条、《信息安全技术 网络安全等级保护基本要求》（GB/T 22239-2019）8.1.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3.3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bidi="ar"/>
        </w:rPr>
        <w:t>入侵防范】</w:t>
      </w:r>
    </w:p>
    <w:p w14:paraId="50127FA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第十五条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lang w:val="en-US" w:eastAsia="zh-CN" w:bidi="ar"/>
        </w:rPr>
        <w:t>办公账号实行一人一号、专人专用，严禁账号共享、转借或告知外单位相关人员，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lang w:val="en-US" w:eastAsia="zh-CN" w:bidi="ar"/>
        </w:rPr>
        <w:t>工作人员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lang w:val="en-US" w:eastAsia="zh-CN" w:bidi="ar"/>
        </w:rPr>
        <w:t>离职、轮岗、借调等状态变动，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bidi="ar"/>
        </w:rPr>
        <w:t>所在部门应当在3个工作日内通知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 w:bidi="ar"/>
        </w:rPr>
        <w:t>技术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bidi="ar"/>
        </w:rPr>
        <w:t>中心注销或调整相关账号权限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 w:bidi="ar"/>
        </w:rPr>
        <w:t>。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bidi="ar"/>
        </w:rPr>
        <w:t>【参考：《信息安全技术 网络安全等级保护基本要求》（GB/T 22239-2019）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6.1.4安全管理人员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bidi="ar"/>
        </w:rPr>
        <w:t>】</w:t>
      </w:r>
    </w:p>
    <w:p w14:paraId="09DEF029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第十六条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lang w:val="en-US" w:eastAsia="zh-CN" w:bidi="ar"/>
        </w:rPr>
        <w:t>终端或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政务信息系统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lang w:val="en-US" w:eastAsia="zh-CN" w:bidi="ar"/>
        </w:rPr>
        <w:t>应设置密码，密码复杂度应符合要求，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政务信息系统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lang w:val="en-US" w:eastAsia="zh-CN" w:bidi="ar"/>
        </w:rPr>
        <w:t>后台登录原则上还应使用“双因子”认证，禁止使用弱口令、默认口令、历史口令。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【参考：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bidi="ar"/>
        </w:rPr>
        <w:t>《信息安全技术 网络安全等级保护基本要求》（GB/T 22239-2019）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6.1.4安全计算环境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bidi="ar"/>
        </w:rPr>
        <w:t>】</w:t>
      </w:r>
    </w:p>
    <w:p w14:paraId="0C2EAC5A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第十七条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政务信息系统应当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"/>
        </w:rPr>
        <w:t>留存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用户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"/>
        </w:rPr>
        <w:t>操作日志，终端或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"/>
        </w:rPr>
        <w:t>政务信息系统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"/>
        </w:rPr>
        <w:t>关闭非必要服务，如远程桌面，并实行最小权限原则，严禁授予普通账户管理员的权限。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bidi="ar"/>
        </w:rPr>
        <w:t>【参考：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"/>
        </w:rPr>
        <w:t>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bidi="ar"/>
        </w:rPr>
        <w:t>信息安全技术 网络安全等级保护基本要求》（GB/T 22239-2019）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 w:bidi="ar"/>
        </w:rPr>
        <w:t>6.1.4安全计算环境7.1.10.6网络和系统安全管理</w:t>
      </w:r>
      <w:r>
        <w:rPr>
          <w:rFonts w:hint="eastAsia" w:ascii="仿宋_GB2312" w:hAnsi="仿宋_GB2312" w:eastAsia="仿宋_GB2312" w:cs="仿宋_GB2312"/>
          <w:sz w:val="32"/>
          <w:szCs w:val="32"/>
          <w:lang w:val="en-US" w:bidi="ar"/>
        </w:rPr>
        <w:t>】</w:t>
      </w:r>
    </w:p>
    <w:p w14:paraId="1996FEE4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第十八条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"/>
        </w:rPr>
        <w:t>不得故意制作、传播、安装计算机病毒及木马等破坏性程序，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bidi="ar"/>
        </w:rPr>
        <w:t>不得实施其他危害网络与数据安全的行为。发现终端运行异常，应当立即断开网络并报告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 w:bidi="ar"/>
        </w:rPr>
        <w:t>技术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bidi="ar"/>
        </w:rPr>
        <w:t>中心处理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bidi="ar"/>
        </w:rPr>
        <w:t>【参考：《中华人民共和国网络安全法》第三章第二十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"/>
        </w:rPr>
        <w:t>九</w:t>
      </w:r>
      <w:r>
        <w:rPr>
          <w:rFonts w:hint="eastAsia" w:ascii="仿宋_GB2312" w:hAnsi="仿宋_GB2312" w:eastAsia="仿宋_GB2312" w:cs="仿宋_GB2312"/>
          <w:sz w:val="32"/>
          <w:szCs w:val="32"/>
          <w:lang w:val="en-US" w:bidi="ar"/>
        </w:rPr>
        <w:t>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"/>
        </w:rPr>
        <w:t>、第四章第五十条</w:t>
      </w:r>
      <w:r>
        <w:rPr>
          <w:rFonts w:hint="eastAsia" w:ascii="仿宋_GB2312" w:hAnsi="仿宋_GB2312" w:eastAsia="仿宋_GB2312" w:cs="仿宋_GB2312"/>
          <w:sz w:val="32"/>
          <w:szCs w:val="32"/>
          <w:lang w:val="en-US" w:bidi="ar"/>
        </w:rPr>
        <w:t>、《中华人民共和国数据安全法》第四章第三十二条】</w:t>
      </w:r>
    </w:p>
    <w:p w14:paraId="6BE56554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"/>
        </w:rPr>
      </w:pPr>
    </w:p>
    <w:p w14:paraId="36C59A4D">
      <w:pPr>
        <w:pStyle w:val="2"/>
        <w:numPr>
          <w:ilvl w:val="0"/>
          <w:numId w:val="0"/>
        </w:numPr>
        <w:tabs>
          <w:tab w:val="left" w:pos="360"/>
        </w:tabs>
        <w:spacing w:before="0" w:after="0" w:line="600" w:lineRule="exact"/>
        <w:ind w:leftChars="0" w:firstLine="643" w:firstLineChars="20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第五章 政务信息系统建设与运维管理</w:t>
      </w:r>
    </w:p>
    <w:p w14:paraId="0416E6B6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第十九条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新建、升级、改造的政务信息系统原则上应同步开展安全设计、安全检测、风险评估、定级备案、等保测评、密码评估等工作，通过安全验收后方可上线运行。无人管理、无人使用、无人防护的业务系统应及时停用并下线。</w:t>
      </w:r>
      <w:r>
        <w:rPr>
          <w:rFonts w:hint="eastAsia" w:ascii="仿宋_GB2312" w:hAnsi="仿宋_GB2312" w:eastAsia="仿宋_GB2312" w:cs="仿宋_GB2312"/>
          <w:sz w:val="32"/>
        </w:rPr>
        <w:t>【参考：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《福建省网络安全工作责任制实施细则》（闽委网信委〔2026〕3号）第二章第七条</w:t>
      </w:r>
      <w:r>
        <w:rPr>
          <w:rFonts w:hint="eastAsia" w:ascii="仿宋_GB2312" w:hAnsi="仿宋_GB2312" w:eastAsia="仿宋_GB2312" w:cs="仿宋_GB2312"/>
          <w:sz w:val="32"/>
        </w:rPr>
        <w:t>】</w:t>
      </w:r>
    </w:p>
    <w:p w14:paraId="23378231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第二十条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三级及以上政务信息系统应每年开展一次等保测评和密码评估，二级系统应当每两年进行一次等保测评和密码评估。系统定级及相关材料及时报系统主管部门及公安机关进行备案，并抄送技术中心。</w:t>
      </w:r>
      <w:r>
        <w:rPr>
          <w:rFonts w:hint="eastAsia" w:ascii="仿宋_GB2312" w:hAnsi="仿宋_GB2312" w:eastAsia="仿宋_GB2312" w:cs="仿宋_GB2312"/>
          <w:sz w:val="32"/>
        </w:rPr>
        <w:t>【参考：《中华人民共和国网络安全法》第三章第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三十三</w:t>
      </w:r>
      <w:r>
        <w:rPr>
          <w:rFonts w:hint="eastAsia" w:ascii="仿宋_GB2312" w:hAnsi="仿宋_GB2312" w:eastAsia="仿宋_GB2312" w:cs="仿宋_GB2312"/>
          <w:sz w:val="32"/>
        </w:rPr>
        <w:t>条、《信息安全技术 网络安全等级保护基本要求》（GB/T 22239-2019）8.</w:t>
      </w:r>
      <w:r>
        <w:rPr>
          <w:rFonts w:hint="eastAsia" w:ascii="仿宋_GB2312" w:hAnsi="仿宋_GB2312" w:eastAsia="仿宋_GB2312" w:cs="仿宋_GB2312"/>
          <w:sz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</w:rPr>
        <w:t>.</w:t>
      </w:r>
      <w:r>
        <w:rPr>
          <w:rFonts w:hint="eastAsia" w:ascii="仿宋_GB2312" w:hAnsi="仿宋_GB2312" w:eastAsia="仿宋_GB2312" w:cs="仿宋_GB2312"/>
          <w:sz w:val="32"/>
          <w:lang w:val="en-US" w:eastAsia="zh-CN"/>
        </w:rPr>
        <w:t>9建设</w:t>
      </w:r>
      <w:r>
        <w:rPr>
          <w:rFonts w:hint="eastAsia" w:ascii="仿宋_GB2312" w:hAnsi="仿宋_GB2312" w:eastAsia="仿宋_GB2312" w:cs="仿宋_GB2312"/>
          <w:sz w:val="32"/>
        </w:rPr>
        <w:t>安全管理、《中华人民共和国密码法》第三章第二十七条】</w:t>
      </w:r>
    </w:p>
    <w:p w14:paraId="6402E409">
      <w:pPr>
        <w:pStyle w:val="18"/>
        <w:widowControl/>
        <w:numPr>
          <w:ilvl w:val="0"/>
          <w:numId w:val="0"/>
        </w:numPr>
        <w:spacing w:line="600" w:lineRule="exact"/>
        <w:ind w:firstLine="643" w:firstLineChars="200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bidi="ar"/>
        </w:rPr>
        <w:t>第二十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一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bidi="ar"/>
        </w:rPr>
        <w:t>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bidi="ar"/>
        </w:rPr>
        <w:t xml:space="preserve"> 政务信息系统应当部署在省级政务云平台，使用政务云资源应当遵守政务云安全管理规范。涉密信息系统不得部署在政务云非涉密区域。各部门新建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政务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bidi="ar"/>
        </w:rPr>
        <w:t>信息系统应当经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技术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bidi="ar"/>
        </w:rPr>
        <w:t>中心审核云资源配置和安全方案后方可开通云资源。【参考：《中华人民共和国保守国家秘密法》第三章第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三十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bidi="ar"/>
        </w:rPr>
        <w:t>条】</w:t>
      </w:r>
    </w:p>
    <w:p w14:paraId="1110E171">
      <w:pPr>
        <w:pStyle w:val="18"/>
        <w:widowControl/>
        <w:numPr>
          <w:ilvl w:val="0"/>
          <w:numId w:val="0"/>
        </w:numPr>
        <w:spacing w:line="600" w:lineRule="exact"/>
        <w:ind w:firstLine="643" w:firstLineChars="200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bidi="ar"/>
        </w:rPr>
        <w:t>第二十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二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bidi="ar"/>
        </w:rPr>
        <w:t>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bidi="ar"/>
        </w:rPr>
        <w:t xml:space="preserve"> 涉及第三方运维或数据处理的，应当签订网络安全保密协议，明确安全责任和义务。第三方运维人员应当在厅内人员监督下开展工作，操作日志应当留存审计。运维结束后应当及时收回相关权限和账号。第三方运维人员不得擅自拷贝、导出数据。【参考：《中华人民共和国网络安全法》第三章第三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八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bidi="ar"/>
        </w:rPr>
        <w:t>条、《中华人民共和国数据安全法》第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五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bidi="ar"/>
        </w:rPr>
        <w:t>章第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四十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bidi="ar"/>
        </w:rPr>
        <w:t>条】</w:t>
      </w:r>
    </w:p>
    <w:p w14:paraId="4E63F23F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第二十三条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政务信息系统应做好系统数据备份工作，制定应急处置和灾难恢复机制。 </w:t>
      </w:r>
      <w:r>
        <w:rPr>
          <w:rFonts w:hint="eastAsia" w:ascii="仿宋_GB2312" w:hAnsi="仿宋_GB2312" w:eastAsia="仿宋_GB2312" w:cs="仿宋_GB2312"/>
          <w:sz w:val="32"/>
        </w:rPr>
        <w:t>【参考：《中华人民共和国网络安全法》第三章第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三十六</w:t>
      </w:r>
      <w:r>
        <w:rPr>
          <w:rFonts w:hint="eastAsia" w:ascii="仿宋_GB2312" w:hAnsi="仿宋_GB2312" w:eastAsia="仿宋_GB2312" w:cs="仿宋_GB2312"/>
          <w:sz w:val="32"/>
        </w:rPr>
        <w:t>条、《信息安全技术 网络安全等级保护基本要求》（GB/T 22239-2019）8.2.5数据备份恢复、《关键信息基础设施安全保护条例》第四章第二十三条】</w:t>
      </w:r>
    </w:p>
    <w:p w14:paraId="02380668">
      <w:pPr>
        <w:pStyle w:val="8"/>
        <w:spacing w:line="600" w:lineRule="exact"/>
        <w:ind w:firstLine="643" w:firstLineChars="200"/>
        <w:rPr>
          <w:rFonts w:hint="eastAsia" w:ascii="仿宋_GB2312" w:hAnsi="仿宋_GB2312" w:eastAsia="仿宋_GB2312" w:cs="仿宋_GB2312"/>
          <w:kern w:val="2"/>
          <w:sz w:val="32"/>
          <w:szCs w:val="22"/>
          <w:lang w:val="zh-CN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32"/>
          <w:szCs w:val="32"/>
          <w:lang w:bidi="ar"/>
          <w14:textFill>
            <w14:solidFill>
              <w14:schemeClr w14:val="tx1"/>
            </w14:solidFill>
          </w14:textFill>
        </w:rPr>
        <w:t>第二十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kern w:val="0"/>
          <w:sz w:val="32"/>
          <w:szCs w:val="32"/>
          <w:lang w:bidi="ar"/>
          <w14:textFill>
            <w14:solidFill>
              <w14:schemeClr w14:val="tx1"/>
            </w14:solidFill>
          </w14:textFill>
        </w:rPr>
        <w:t>条</w:t>
      </w:r>
      <w:r>
        <w:rPr>
          <w:rFonts w:hint="eastAsia" w:ascii="仿宋_GB2312" w:hAnsi="仿宋_GB2312" w:eastAsia="仿宋_GB2312" w:cs="仿宋_GB2312"/>
          <w:b/>
          <w:bCs/>
          <w:color w:val="FF0000"/>
          <w:kern w:val="0"/>
          <w:sz w:val="32"/>
          <w:szCs w:val="32"/>
          <w:lang w:bidi="ar"/>
        </w:rPr>
        <w:t xml:space="preserve"> </w:t>
      </w:r>
      <w:r>
        <w:rPr>
          <w:rFonts w:hint="eastAsia" w:ascii="仿宋_GB2312" w:hAnsi="仿宋_GB2312" w:eastAsia="仿宋_GB2312" w:cs="仿宋_GB2312"/>
          <w:kern w:val="2"/>
          <w:sz w:val="32"/>
          <w:szCs w:val="22"/>
          <w:lang w:val="zh-CN" w:eastAsia="zh-CN" w:bidi="ar-SA"/>
        </w:rPr>
        <w:t>政务信息系统变更（包括系统升级、配置变更、网络调整等）应当履行变更审批手续，制定变更方案和回退方案，经技术中心审核后方可实施。重大变更应当在非工作时间进行，变更后应当进行安全验证。</w:t>
      </w:r>
    </w:p>
    <w:p w14:paraId="11C107D8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bidi="ar"/>
        </w:rPr>
        <w:t>第二十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eastAsia="zh-CN" w:bidi="ar"/>
        </w:rPr>
        <w:t>五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bidi="ar"/>
        </w:rPr>
        <w:t xml:space="preserve">条 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eastAsia="zh-CN" w:bidi="ar"/>
        </w:rPr>
        <w:t>办公室会同技术中心委托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网络安全服务公司每月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bidi="ar"/>
        </w:rPr>
        <w:t>开展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eastAsia="zh-CN" w:bidi="ar"/>
        </w:rPr>
        <w:t>政务信息系统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bidi="ar"/>
        </w:rPr>
        <w:t>漏洞扫描和安全评估，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eastAsia="zh-CN" w:bidi="ar"/>
        </w:rPr>
        <w:t>政务信息系统应当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bidi="ar"/>
        </w:rPr>
        <w:t>及时修补已知安全漏洞。高危漏洞应当在确认后5个工作日内完成修复或采取临时防护措施，中低危漏洞应当在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15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bidi="ar"/>
        </w:rPr>
        <w:t>个工作日内完成修复。【参考：《中华人民共和国网络安全法》第三章第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eastAsia="zh-CN" w:bidi="ar"/>
        </w:rPr>
        <w:t>二十四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bidi="ar"/>
        </w:rPr>
        <w:t>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bidi="ar"/>
        </w:rPr>
        <w:t>《中华人民共和国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eastAsia="zh-CN" w:bidi="ar"/>
        </w:rPr>
        <w:t>数据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bidi="ar"/>
        </w:rPr>
        <w:t>安全法》第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eastAsia="zh-CN" w:bidi="ar"/>
        </w:rPr>
        <w:t>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bidi="ar"/>
        </w:rPr>
        <w:t>章第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eastAsia="zh-CN" w:bidi="ar"/>
        </w:rPr>
        <w:t>二十九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bidi="ar"/>
        </w:rPr>
        <w:t>条】</w:t>
      </w:r>
    </w:p>
    <w:p w14:paraId="79909303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4CC0F755">
      <w:pPr>
        <w:pStyle w:val="2"/>
        <w:numPr>
          <w:ilvl w:val="0"/>
          <w:numId w:val="0"/>
        </w:numPr>
        <w:tabs>
          <w:tab w:val="left" w:pos="360"/>
        </w:tabs>
        <w:spacing w:before="0" w:after="0" w:line="600" w:lineRule="exact"/>
        <w:ind w:leftChars="0" w:firstLine="643" w:firstLineChars="20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第六章 数据安全管理</w:t>
      </w:r>
    </w:p>
    <w:p w14:paraId="17FB1AD8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第二十六条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各处室（局）数据应进行分级分类，政务数据采集、登记、汇聚共享、应用、开放及其相关管理活动按</w:t>
      </w: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XXXXX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政务数据管理办法严格执行。</w:t>
      </w:r>
      <w:r>
        <w:rPr>
          <w:rFonts w:hint="eastAsia" w:ascii="仿宋_GB2312" w:hAnsi="仿宋_GB2312" w:eastAsia="仿宋_GB2312" w:cs="仿宋_GB2312"/>
          <w:sz w:val="32"/>
        </w:rPr>
        <w:t>【参考：《中华人民共和国数据安全法》第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二</w:t>
      </w:r>
      <w:r>
        <w:rPr>
          <w:rFonts w:hint="eastAsia" w:ascii="仿宋_GB2312" w:hAnsi="仿宋_GB2312" w:eastAsia="仿宋_GB2312" w:cs="仿宋_GB2312"/>
          <w:sz w:val="32"/>
        </w:rPr>
        <w:t>章第二十一条、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《</w:t>
      </w:r>
      <w:r>
        <w:rPr>
          <w:rFonts w:hint="default" w:ascii="仿宋_GB2312" w:hAnsi="仿宋_GB2312" w:eastAsia="仿宋_GB2312" w:cs="仿宋_GB2312"/>
          <w:sz w:val="32"/>
          <w:lang w:val="en-US" w:eastAsia="zh-CN"/>
        </w:rPr>
        <w:t>XXXXXXXXXXXXX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政务数据管理办法》（初稿）</w:t>
      </w:r>
      <w:r>
        <w:rPr>
          <w:rFonts w:hint="eastAsia" w:ascii="仿宋_GB2312" w:hAnsi="仿宋_GB2312" w:eastAsia="仿宋_GB2312" w:cs="仿宋_GB2312"/>
          <w:sz w:val="32"/>
        </w:rPr>
        <w:t>】</w:t>
      </w:r>
    </w:p>
    <w:p w14:paraId="1ACC4163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第二十七条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各处室（局）应按照国家信息安全和保密相关规定，定期开展隐患排查和保密检查工作，做好采集、处理、存储、传输、管理和使用等全流程安全管控。数据采集、存储、使用、传输、销毁须合法合规，严禁超范围采集、违规使用、泄露、篡改、损毁数据。</w:t>
      </w:r>
      <w:r>
        <w:rPr>
          <w:rFonts w:hint="eastAsia" w:ascii="仿宋_GB2312" w:hAnsi="仿宋_GB2312" w:eastAsia="仿宋_GB2312" w:cs="仿宋_GB2312"/>
          <w:sz w:val="32"/>
        </w:rPr>
        <w:t>【参考：《中华人民共和国数据安全法》第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三</w:t>
      </w:r>
      <w:r>
        <w:rPr>
          <w:rFonts w:hint="eastAsia" w:ascii="仿宋_GB2312" w:hAnsi="仿宋_GB2312" w:eastAsia="仿宋_GB2312" w:cs="仿宋_GB2312"/>
          <w:sz w:val="32"/>
        </w:rPr>
        <w:t>章第二十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四</w:t>
      </w:r>
      <w:r>
        <w:rPr>
          <w:rFonts w:hint="eastAsia" w:ascii="仿宋_GB2312" w:hAnsi="仿宋_GB2312" w:eastAsia="仿宋_GB2312" w:cs="仿宋_GB2312"/>
          <w:sz w:val="32"/>
        </w:rPr>
        <w:t>条、第四章第二十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七</w:t>
      </w:r>
      <w:r>
        <w:rPr>
          <w:rFonts w:hint="eastAsia" w:ascii="仿宋_GB2312" w:hAnsi="仿宋_GB2312" w:eastAsia="仿宋_GB2312" w:cs="仿宋_GB2312"/>
          <w:sz w:val="32"/>
        </w:rPr>
        <w:t>条、《中华人民共和国个人信息保护法》第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32"/>
        </w:rPr>
        <w:t>章第五条、第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32"/>
        </w:rPr>
        <w:t>章第六条、《中华人民共和国保守国家秘密法》第三章第二十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六</w:t>
      </w:r>
      <w:r>
        <w:rPr>
          <w:rFonts w:hint="eastAsia" w:ascii="仿宋_GB2312" w:hAnsi="仿宋_GB2312" w:eastAsia="仿宋_GB2312" w:cs="仿宋_GB2312"/>
          <w:sz w:val="32"/>
        </w:rPr>
        <w:t>条】</w:t>
      </w:r>
    </w:p>
    <w:p w14:paraId="2AF51D8E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第二十八条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政务信息系统核心敏感数据应进行加密，使用数据过程中应对相关数据进行脱敏。</w:t>
      </w:r>
      <w:r>
        <w:rPr>
          <w:rFonts w:hint="eastAsia" w:ascii="仿宋_GB2312" w:hAnsi="仿宋_GB2312" w:eastAsia="仿宋_GB2312" w:cs="仿宋_GB2312"/>
          <w:sz w:val="32"/>
        </w:rPr>
        <w:t>【参考：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《福建省政务数据管理办法》第五章第三十七条</w:t>
      </w:r>
      <w:r>
        <w:rPr>
          <w:rFonts w:hint="eastAsia" w:ascii="仿宋_GB2312" w:hAnsi="仿宋_GB2312" w:eastAsia="仿宋_GB2312" w:cs="仿宋_GB2312"/>
          <w:sz w:val="32"/>
        </w:rPr>
        <w:t>】</w:t>
      </w:r>
    </w:p>
    <w:p w14:paraId="355322B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ascii="仿宋_GB2312" w:hAnsi="仿宋_GB2312" w:eastAsia="仿宋_GB2312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第</w:t>
      </w:r>
      <w:r>
        <w:rPr>
          <w:rFonts w:hint="eastAsia" w:ascii="仿宋_GB2312" w:hAnsi="仿宋_GB2312" w:eastAsia="仿宋_GB2312"/>
          <w:b/>
          <w:bCs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二十九</w:t>
      </w:r>
      <w:r>
        <w:rPr>
          <w:rFonts w:ascii="仿宋_GB2312" w:hAnsi="仿宋_GB2312" w:eastAsia="仿宋_GB2312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条</w:t>
      </w:r>
      <w:r>
        <w:rPr>
          <w:rFonts w:ascii="仿宋_GB2312" w:hAnsi="仿宋_GB2312" w:eastAsia="仿宋_GB2312"/>
          <w:color w:val="FF0000"/>
          <w:sz w:val="32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各处室（局）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通过政务新媒体（微信公众号、微博、网站等）发布信息的，应当严格执行信息发布审核制度，严禁发布涉密信息和不宜公开的内部工作信息。政务新媒体账号应当由专人管理，密码应当定期更换。【参考：《中华人民共和国网络安全法》第三章第二十一条、《中华人民共和国保守国家秘密法》第三章第二十五条】</w:t>
      </w:r>
    </w:p>
    <w:p w14:paraId="786A5A8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</w:pPr>
    </w:p>
    <w:p w14:paraId="175A5A41">
      <w:pPr>
        <w:pStyle w:val="2"/>
        <w:numPr>
          <w:ilvl w:val="0"/>
          <w:numId w:val="0"/>
        </w:numPr>
        <w:tabs>
          <w:tab w:val="left" w:pos="360"/>
        </w:tabs>
        <w:spacing w:before="0" w:after="0" w:line="600" w:lineRule="exact"/>
        <w:ind w:leftChars="0" w:firstLine="643" w:firstLineChars="200"/>
        <w:jc w:val="center"/>
        <w:rPr>
          <w:rFonts w:hint="eastAsia" w:ascii="黑体" w:hAnsi="黑体" w:eastAsia="黑体" w:cs="黑体"/>
          <w:lang w:val="en-US" w:eastAsia="zh-CN"/>
        </w:rPr>
      </w:pPr>
      <w:bookmarkStart w:id="4" w:name="_Toc98512978"/>
      <w:r>
        <w:rPr>
          <w:rFonts w:hint="eastAsia" w:ascii="黑体" w:hAnsi="黑体" w:eastAsia="黑体" w:cs="黑体"/>
          <w:lang w:val="en-US" w:eastAsia="zh-CN"/>
        </w:rPr>
        <w:t>第七章 监测预警与应急处置</w:t>
      </w:r>
    </w:p>
    <w:p w14:paraId="0582BFD2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第三十条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各政务信息系统、基础网络设施等应当建立网络与数据安全监测预警和应急处置机制，每年至少开展一次应急演练，提升应急处置能力，及时发现并处置网络安全风险。</w:t>
      </w:r>
      <w:r>
        <w:rPr>
          <w:rFonts w:hint="eastAsia" w:ascii="仿宋_GB2312" w:hAnsi="仿宋_GB2312" w:eastAsia="仿宋_GB2312" w:cs="仿宋_GB2312"/>
          <w:sz w:val="32"/>
        </w:rPr>
        <w:t>【参考：《中华人民共和国网络安全法》第五章第五十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三</w:t>
      </w:r>
      <w:r>
        <w:rPr>
          <w:rFonts w:hint="eastAsia" w:ascii="仿宋_GB2312" w:hAnsi="仿宋_GB2312" w:eastAsia="仿宋_GB2312" w:cs="仿宋_GB2312"/>
          <w:sz w:val="32"/>
        </w:rPr>
        <w:t>条、第五章第五十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四</w:t>
      </w:r>
      <w:r>
        <w:rPr>
          <w:rFonts w:hint="eastAsia" w:ascii="仿宋_GB2312" w:hAnsi="仿宋_GB2312" w:eastAsia="仿宋_GB2312" w:cs="仿宋_GB2312"/>
          <w:sz w:val="32"/>
        </w:rPr>
        <w:t>条、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第五章五十五条、</w:t>
      </w:r>
      <w:r>
        <w:rPr>
          <w:rFonts w:hint="eastAsia" w:ascii="仿宋_GB2312" w:hAnsi="仿宋_GB2312" w:eastAsia="仿宋_GB2312" w:cs="仿宋_GB2312"/>
          <w:sz w:val="32"/>
        </w:rPr>
        <w:t>《中华人民共和国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数据安全</w:t>
      </w:r>
      <w:r>
        <w:rPr>
          <w:rFonts w:hint="eastAsia" w:ascii="仿宋_GB2312" w:hAnsi="仿宋_GB2312" w:eastAsia="仿宋_GB2312" w:cs="仿宋_GB2312"/>
          <w:sz w:val="32"/>
        </w:rPr>
        <w:t>法》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第三章第二十二条、</w:t>
      </w:r>
      <w:r>
        <w:rPr>
          <w:rFonts w:hint="eastAsia" w:ascii="仿宋_GB2312" w:hAnsi="仿宋_GB2312" w:eastAsia="仿宋_GB2312" w:cs="仿宋_GB2312"/>
          <w:sz w:val="32"/>
        </w:rPr>
        <w:t>《关键信息基础设施安全保护条例》第四章第二十四条、第四章第二十五条、《信息安全技术 网络安全事件分类分级指南》（GB/T 20986-2023）</w:t>
      </w:r>
      <w:r>
        <w:rPr>
          <w:rFonts w:hint="eastAsia" w:ascii="仿宋_GB2312" w:hAnsi="仿宋_GB2312" w:eastAsia="仿宋_GB2312" w:cs="仿宋_GB2312"/>
          <w:sz w:val="32"/>
          <w:lang w:val="en-US" w:eastAsia="zh-CN"/>
        </w:rPr>
        <w:t>6网络安全事件分级</w:t>
      </w:r>
      <w:r>
        <w:rPr>
          <w:rFonts w:hint="eastAsia" w:ascii="仿宋_GB2312" w:hAnsi="仿宋_GB2312" w:eastAsia="仿宋_GB2312" w:cs="仿宋_GB2312"/>
          <w:sz w:val="32"/>
        </w:rPr>
        <w:t>】</w:t>
      </w:r>
    </w:p>
    <w:p w14:paraId="09A9060E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第三十一条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各政务信息系统、基础网络设施等发生网络与数据安全攻击事件后，应按照预案立即启动应急响应程序，采取阻断攻击、隔离感染、系统加固、数据恢复、溯源分析等措施，降低危害，防止扩散，并向上级单位网络安全归口管理部门报告，组织评估影响范围和危害程度。</w:t>
      </w:r>
      <w:r>
        <w:rPr>
          <w:rFonts w:hint="eastAsia" w:ascii="仿宋_GB2312" w:hAnsi="仿宋_GB2312" w:eastAsia="仿宋_GB2312" w:cs="仿宋_GB2312"/>
          <w:sz w:val="32"/>
        </w:rPr>
        <w:t>【参考：《中华人民共和国网络安全法》第五章第五十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六</w:t>
      </w:r>
      <w:r>
        <w:rPr>
          <w:rFonts w:hint="eastAsia" w:ascii="仿宋_GB2312" w:hAnsi="仿宋_GB2312" w:eastAsia="仿宋_GB2312" w:cs="仿宋_GB2312"/>
          <w:sz w:val="32"/>
        </w:rPr>
        <w:t>条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、第五章第五十七条</w:t>
      </w:r>
      <w:r>
        <w:rPr>
          <w:rFonts w:hint="eastAsia" w:ascii="仿宋_GB2312" w:hAnsi="仿宋_GB2312" w:eastAsia="仿宋_GB2312" w:cs="仿宋_GB2312"/>
          <w:sz w:val="32"/>
        </w:rPr>
        <w:t>、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第五章第五十八条、第五章第五十九条、</w:t>
      </w:r>
      <w:r>
        <w:rPr>
          <w:rFonts w:hint="eastAsia" w:ascii="仿宋_GB2312" w:hAnsi="仿宋_GB2312" w:eastAsia="仿宋_GB2312" w:cs="仿宋_GB2312"/>
          <w:sz w:val="32"/>
        </w:rPr>
        <w:t>《中华人民共和国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数据安全</w:t>
      </w:r>
      <w:r>
        <w:rPr>
          <w:rFonts w:hint="eastAsia" w:ascii="仿宋_GB2312" w:hAnsi="仿宋_GB2312" w:eastAsia="仿宋_GB2312" w:cs="仿宋_GB2312"/>
          <w:sz w:val="32"/>
        </w:rPr>
        <w:t>法》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第三章第二十三条</w:t>
      </w:r>
      <w:r>
        <w:rPr>
          <w:rFonts w:hint="eastAsia" w:ascii="仿宋_GB2312" w:hAnsi="仿宋_GB2312" w:eastAsia="仿宋_GB2312" w:cs="仿宋_GB2312"/>
          <w:sz w:val="32"/>
        </w:rPr>
        <w:t>】</w:t>
      </w:r>
    </w:p>
    <w:p w14:paraId="38CF5CA2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lang w:val="en-US" w:eastAsia="zh-CN"/>
        </w:rPr>
      </w:pPr>
    </w:p>
    <w:p w14:paraId="160D759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firstLine="643" w:firstLineChars="200"/>
        <w:jc w:val="center"/>
        <w:textAlignment w:val="auto"/>
        <w:rPr>
          <w:rFonts w:hint="eastAsia" w:ascii="黑体" w:hAnsi="黑体" w:eastAsia="黑体" w:cs="黑体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"/>
        </w:rPr>
        <w:t xml:space="preserve">第八章 </w:t>
      </w:r>
      <w:r>
        <w:rPr>
          <w:rFonts w:hint="eastAsia" w:ascii="黑体" w:hAnsi="黑体" w:eastAsia="黑体" w:cs="黑体"/>
          <w:color w:val="000000"/>
          <w:kern w:val="2"/>
          <w:sz w:val="32"/>
          <w:szCs w:val="32"/>
          <w:lang w:val="en-US" w:eastAsia="zh-CN" w:bidi="ar"/>
        </w:rPr>
        <w:t>教育培训与考核问责</w:t>
      </w:r>
    </w:p>
    <w:p w14:paraId="3B6510D8">
      <w:pPr>
        <w:pStyle w:val="18"/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3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第三十二条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将网络安全纳入干部教育培训体系，每年至少组织一次网络安全培训。</w:t>
      </w:r>
      <w:r>
        <w:rPr>
          <w:rFonts w:hint="eastAsia" w:ascii="仿宋_GB2312" w:hAnsi="仿宋_GB2312" w:eastAsia="仿宋_GB2312" w:cs="仿宋_GB2312"/>
          <w:sz w:val="32"/>
        </w:rPr>
        <w:t>【参考：《中华人民共和国网络安全法》第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二</w:t>
      </w:r>
      <w:r>
        <w:rPr>
          <w:rFonts w:hint="eastAsia" w:ascii="仿宋_GB2312" w:hAnsi="仿宋_GB2312" w:eastAsia="仿宋_GB2312" w:cs="仿宋_GB2312"/>
          <w:sz w:val="32"/>
        </w:rPr>
        <w:t>章第二十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32"/>
        </w:rPr>
        <w:t>条、《党委（党组）网络安全工作责任制实施办法》第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三</w:t>
      </w:r>
      <w:r>
        <w:rPr>
          <w:rFonts w:hint="eastAsia" w:ascii="仿宋_GB2312" w:hAnsi="仿宋_GB2312" w:eastAsia="仿宋_GB2312" w:cs="仿宋_GB2312"/>
          <w:sz w:val="32"/>
        </w:rPr>
        <w:t>条、《关键信息基础设施安全保护条例》第四章第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三十五</w:t>
      </w:r>
      <w:r>
        <w:rPr>
          <w:rFonts w:hint="eastAsia" w:ascii="仿宋_GB2312" w:hAnsi="仿宋_GB2312" w:eastAsia="仿宋_GB2312" w:cs="仿宋_GB2312"/>
          <w:sz w:val="32"/>
        </w:rPr>
        <w:t>条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《福建省网络安全工作责任制实施细则》（闽委网信委〔2026〕3号）第二章第五条</w:t>
      </w:r>
      <w:r>
        <w:rPr>
          <w:rFonts w:hint="eastAsia" w:ascii="仿宋_GB2312" w:hAnsi="仿宋_GB2312" w:eastAsia="仿宋_GB2312" w:cs="仿宋_GB2312"/>
          <w:sz w:val="32"/>
        </w:rPr>
        <w:t>】</w:t>
      </w:r>
    </w:p>
    <w:p w14:paraId="08E9197D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第三十三条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网络安全工作纳入年度绩效考核，对违反规定引起网络安全事件造成较大影响的，追究相关人员责任，构成违法犯罪的，移送有关国家机关依法处理。</w:t>
      </w:r>
      <w:r>
        <w:rPr>
          <w:rFonts w:hint="eastAsia" w:ascii="仿宋_GB2312" w:hAnsi="仿宋_GB2312" w:eastAsia="仿宋_GB2312" w:cs="仿宋_GB2312"/>
          <w:sz w:val="32"/>
        </w:rPr>
        <w:t>【参考：《党委（党组）网络安全工作责任制实施办法》第十条、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第十一条、</w:t>
      </w:r>
      <w:r>
        <w:rPr>
          <w:rFonts w:hint="eastAsia" w:ascii="仿宋_GB2312" w:hAnsi="仿宋_GB2312" w:eastAsia="仿宋_GB2312" w:cs="仿宋_GB2312"/>
          <w:sz w:val="32"/>
        </w:rPr>
        <w:t>第十二条</w:t>
      </w:r>
      <w:r>
        <w:rPr>
          <w:rFonts w:hint="eastAsia" w:ascii="仿宋_GB2312" w:hAnsi="仿宋_GB2312" w:eastAsia="仿宋_GB2312" w:cs="仿宋_GB2312"/>
          <w:sz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《福建省网络安全工作责任制实施细则》（闽委网信委〔2026〕3号）第六章第二十四条</w:t>
      </w:r>
      <w:r>
        <w:rPr>
          <w:rFonts w:hint="eastAsia" w:ascii="仿宋_GB2312" w:hAnsi="仿宋_GB2312" w:eastAsia="仿宋_GB2312" w:cs="仿宋_GB2312"/>
          <w:sz w:val="32"/>
        </w:rPr>
        <w:t>】</w:t>
      </w:r>
    </w:p>
    <w:p w14:paraId="7C73D9AE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lang w:val="en-US" w:eastAsia="zh-CN"/>
        </w:rPr>
      </w:pPr>
    </w:p>
    <w:p w14:paraId="0D27F207">
      <w:pPr>
        <w:pStyle w:val="2"/>
        <w:numPr>
          <w:ilvl w:val="0"/>
          <w:numId w:val="0"/>
        </w:numPr>
        <w:tabs>
          <w:tab w:val="left" w:pos="360"/>
        </w:tabs>
        <w:spacing w:before="0" w:after="0" w:line="600" w:lineRule="exact"/>
        <w:ind w:leftChars="0" w:firstLine="643" w:firstLineChars="200"/>
        <w:jc w:val="center"/>
        <w:rPr>
          <w:rFonts w:hint="eastAsia" w:ascii="黑体" w:hAnsi="黑体" w:eastAsia="黑体" w:cs="黑体"/>
          <w:lang w:val="en-US" w:eastAsia="zh-CN"/>
        </w:rPr>
      </w:pPr>
      <w:bookmarkStart w:id="5" w:name="_Toc149916912"/>
      <w:r>
        <w:rPr>
          <w:rFonts w:hint="eastAsia" w:ascii="黑体" w:hAnsi="黑体" w:eastAsia="黑体" w:cs="黑体"/>
          <w:lang w:val="en-US" w:eastAsia="zh-CN"/>
        </w:rPr>
        <w:t>第九章 附则</w:t>
      </w:r>
      <w:bookmarkEnd w:id="4"/>
      <w:bookmarkEnd w:id="5"/>
    </w:p>
    <w:p w14:paraId="419D2CE3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第三十四条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本办法由</w:t>
      </w: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XXXXXXXXXXXXX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办公室负责解释。</w:t>
      </w:r>
    </w:p>
    <w:p w14:paraId="31D34AE2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lang w:val="en-US" w:eastAsia="zh-CN" w:bidi="ar"/>
        </w:rPr>
        <w:t>第三十五条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本办法自发布之日起施行。</w:t>
      </w:r>
    </w:p>
    <w:p w14:paraId="4A126A66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bookmarkStart w:id="6" w:name="_GoBack"/>
      <w:bookmarkEnd w:id="6"/>
    </w:p>
    <w:p w14:paraId="23126BE0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37A7D0C8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209FBCFD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525EFD8D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0BACD0DB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59099B93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3BAD836C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52F484A2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6192BD2B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1FACD357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2DE4A735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6B5FA413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6B18A52D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2668E16D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3EB3208B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683CD592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1C981C08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1F3F9F34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sectPr>
      <w:footerReference r:id="rId3" w:type="default"/>
      <w:pgSz w:w="11906" w:h="16838"/>
      <w:pgMar w:top="1701" w:right="1474" w:bottom="1417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CBDFB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40C12"/>
    <w:multiLevelType w:val="singleLevel"/>
    <w:tmpl w:val="FF740C12"/>
    <w:lvl w:ilvl="0" w:tentative="0">
      <w:start w:val="3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528051FB"/>
    <w:multiLevelType w:val="multilevel"/>
    <w:tmpl w:val="528051FB"/>
    <w:lvl w:ilvl="0" w:tentative="0">
      <w:start w:val="1"/>
      <w:numFmt w:val="chineseCountingThousand"/>
      <w:pStyle w:val="18"/>
      <w:lvlText w:val="第%1条"/>
      <w:lvlJc w:val="left"/>
      <w:pPr>
        <w:ind w:left="562" w:hanging="420"/>
      </w:pPr>
      <w:rPr>
        <w:rFonts w:hint="default"/>
        <w:b/>
        <w:color w:val="auto"/>
        <w:lang w:val="en-US"/>
      </w:rPr>
    </w:lvl>
    <w:lvl w:ilvl="1" w:tentative="0">
      <w:start w:val="1"/>
      <w:numFmt w:val="lowerLetter"/>
      <w:lvlText w:val="%2)"/>
      <w:lvlJc w:val="left"/>
      <w:pPr>
        <w:ind w:left="267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309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351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393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435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477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519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5618" w:hanging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D24"/>
    <w:rsid w:val="000038EB"/>
    <w:rsid w:val="00040836"/>
    <w:rsid w:val="001E42A3"/>
    <w:rsid w:val="003561C5"/>
    <w:rsid w:val="003814B0"/>
    <w:rsid w:val="003A5223"/>
    <w:rsid w:val="005C5DA1"/>
    <w:rsid w:val="00653500"/>
    <w:rsid w:val="00655341"/>
    <w:rsid w:val="00760D24"/>
    <w:rsid w:val="007921B9"/>
    <w:rsid w:val="007B6B2A"/>
    <w:rsid w:val="009958C2"/>
    <w:rsid w:val="00AE4D8D"/>
    <w:rsid w:val="00C312BA"/>
    <w:rsid w:val="00C9712C"/>
    <w:rsid w:val="00F13F8C"/>
    <w:rsid w:val="00F3288B"/>
    <w:rsid w:val="29EF3C4F"/>
    <w:rsid w:val="2FFD811B"/>
    <w:rsid w:val="49FB091A"/>
    <w:rsid w:val="67BB7699"/>
    <w:rsid w:val="6B352117"/>
    <w:rsid w:val="6BFF5C0F"/>
    <w:rsid w:val="6F3E4E93"/>
    <w:rsid w:val="6F53A873"/>
    <w:rsid w:val="6F6F9EBD"/>
    <w:rsid w:val="6FFE8550"/>
    <w:rsid w:val="6FFFF7CE"/>
    <w:rsid w:val="71F71F50"/>
    <w:rsid w:val="77BFB259"/>
    <w:rsid w:val="77F5A4CA"/>
    <w:rsid w:val="79FD39AD"/>
    <w:rsid w:val="7A15CD18"/>
    <w:rsid w:val="7B375816"/>
    <w:rsid w:val="7BCEEA11"/>
    <w:rsid w:val="7C57F163"/>
    <w:rsid w:val="7D3C1D6C"/>
    <w:rsid w:val="7DF5275E"/>
    <w:rsid w:val="7EF6D8C9"/>
    <w:rsid w:val="7F7FB7F7"/>
    <w:rsid w:val="7FDD5242"/>
    <w:rsid w:val="7FDDD3A8"/>
    <w:rsid w:val="7FFF9783"/>
    <w:rsid w:val="8EFD0590"/>
    <w:rsid w:val="98E37FD0"/>
    <w:rsid w:val="9E762D96"/>
    <w:rsid w:val="A7BF5276"/>
    <w:rsid w:val="AF8FFE72"/>
    <w:rsid w:val="BFDB9EE6"/>
    <w:rsid w:val="D376BBDE"/>
    <w:rsid w:val="DBDC46D1"/>
    <w:rsid w:val="DBFF4943"/>
    <w:rsid w:val="DDCF7B86"/>
    <w:rsid w:val="DF6F2C3A"/>
    <w:rsid w:val="DFEEDCF9"/>
    <w:rsid w:val="E9BEFC21"/>
    <w:rsid w:val="EAFF6924"/>
    <w:rsid w:val="EB6E2BFB"/>
    <w:rsid w:val="F33B835C"/>
    <w:rsid w:val="F7F41F24"/>
    <w:rsid w:val="F9FECDBB"/>
    <w:rsid w:val="FA95BFE6"/>
    <w:rsid w:val="FAEF6F12"/>
    <w:rsid w:val="FDEF218D"/>
    <w:rsid w:val="FE5FC8E1"/>
    <w:rsid w:val="FEFF7F60"/>
    <w:rsid w:val="FF4E4578"/>
    <w:rsid w:val="FF4FD894"/>
    <w:rsid w:val="FF5236C4"/>
    <w:rsid w:val="FF758EBF"/>
    <w:rsid w:val="FF775DBA"/>
    <w:rsid w:val="FF7EFD91"/>
    <w:rsid w:val="FFFBBB4F"/>
    <w:rsid w:val="FFFEE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link w:val="1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6"/>
    <w:unhideWhenUsed/>
    <w:qFormat/>
    <w:uiPriority w:val="0"/>
    <w:pPr>
      <w:jc w:val="left"/>
    </w:p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7"/>
    <w:qFormat/>
    <w:uiPriority w:val="0"/>
    <w:pPr>
      <w:spacing w:before="240" w:after="60" w:line="312" w:lineRule="auto"/>
      <w:jc w:val="center"/>
      <w:outlineLvl w:val="1"/>
    </w:pPr>
    <w:rPr>
      <w:rFonts w:ascii="等线" w:hAnsi="等线" w:eastAsia="等线"/>
      <w:b/>
      <w:bCs/>
      <w:kern w:val="28"/>
      <w:sz w:val="32"/>
      <w:szCs w:val="32"/>
    </w:rPr>
  </w:style>
  <w:style w:type="paragraph" w:styleId="8">
    <w:name w:val="Body Text 2"/>
    <w:basedOn w:val="1"/>
    <w:unhideWhenUsed/>
    <w:qFormat/>
    <w:uiPriority w:val="99"/>
    <w:pPr>
      <w:spacing w:after="120" w:line="480" w:lineRule="auto"/>
    </w:pPr>
  </w:style>
  <w:style w:type="character" w:styleId="11">
    <w:name w:val="annotation reference"/>
    <w:basedOn w:val="10"/>
    <w:unhideWhenUsed/>
    <w:qFormat/>
    <w:uiPriority w:val="0"/>
    <w:rPr>
      <w:sz w:val="21"/>
      <w:szCs w:val="21"/>
    </w:rPr>
  </w:style>
  <w:style w:type="character" w:customStyle="1" w:styleId="12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标题 3 字符"/>
    <w:basedOn w:val="10"/>
    <w:link w:val="2"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">
    <w:name w:val="标题 4 字符"/>
    <w:basedOn w:val="10"/>
    <w:link w:val="3"/>
    <w:qFormat/>
    <w:uiPriority w:val="9"/>
    <w:rPr>
      <w:rFonts w:ascii="等线 Light" w:hAnsi="等线 Light" w:eastAsia="等线 Light" w:cs="Times New Roman"/>
      <w:b/>
      <w:bCs/>
      <w:sz w:val="28"/>
      <w:szCs w:val="28"/>
    </w:rPr>
  </w:style>
  <w:style w:type="character" w:customStyle="1" w:styleId="16">
    <w:name w:val="批注文字 字符"/>
    <w:basedOn w:val="10"/>
    <w:link w:val="4"/>
    <w:qFormat/>
    <w:uiPriority w:val="0"/>
    <w:rPr>
      <w:rFonts w:ascii="Calibri" w:hAnsi="Calibri" w:eastAsia="宋体" w:cs="Times New Roman"/>
    </w:rPr>
  </w:style>
  <w:style w:type="character" w:customStyle="1" w:styleId="17">
    <w:name w:val="副标题 字符"/>
    <w:basedOn w:val="10"/>
    <w:link w:val="7"/>
    <w:qFormat/>
    <w:uiPriority w:val="0"/>
    <w:rPr>
      <w:rFonts w:ascii="等线" w:hAnsi="等线" w:eastAsia="等线" w:cs="Times New Roman"/>
      <w:b/>
      <w:bCs/>
      <w:kern w:val="28"/>
      <w:sz w:val="32"/>
      <w:szCs w:val="32"/>
    </w:rPr>
  </w:style>
  <w:style w:type="paragraph" w:customStyle="1" w:styleId="18">
    <w:name w:val="制度正文缩进"/>
    <w:basedOn w:val="1"/>
    <w:link w:val="19"/>
    <w:qFormat/>
    <w:uiPriority w:val="0"/>
    <w:pPr>
      <w:widowControl/>
      <w:numPr>
        <w:ilvl w:val="0"/>
        <w:numId w:val="1"/>
      </w:numPr>
      <w:spacing w:line="360" w:lineRule="auto"/>
    </w:pPr>
    <w:rPr>
      <w:rFonts w:ascii="宋体" w:hAnsi="宋体"/>
      <w:sz w:val="24"/>
      <w:lang w:val="zh-CN"/>
    </w:rPr>
  </w:style>
  <w:style w:type="character" w:customStyle="1" w:styleId="19">
    <w:name w:val="制度正文缩进 Char"/>
    <w:link w:val="18"/>
    <w:qFormat/>
    <w:uiPriority w:val="0"/>
    <w:rPr>
      <w:rFonts w:ascii="宋体" w:hAnsi="宋体" w:eastAsia="宋体" w:cs="Times New Roman"/>
      <w:sz w:val="24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11</Pages>
  <Words>1050</Words>
  <Characters>5988</Characters>
  <Lines>49</Lines>
  <Paragraphs>14</Paragraphs>
  <TotalTime>14</TotalTime>
  <ScaleCrop>false</ScaleCrop>
  <LinksUpToDate>false</LinksUpToDate>
  <CharactersWithSpaces>7024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2024-01-12T18:34:00Z</dcterms:created>
  <dc:creator>303871428@qq.com</dc:creator>
  <cp:lastModifiedBy>admin</cp:lastModifiedBy>
  <cp:lastPrinted>2026-06-11T01:48:00Z</cp:lastPrinted>
  <dcterms:modified xsi:type="dcterms:W3CDTF">2026-06-11T09:24:14Z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A3645AF71A32EB015AF8C16918432B75</vt:lpwstr>
  </property>
</Properties>
</file>