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92F" w:rsidRPr="00AB70CE" w:rsidRDefault="001C492F" w:rsidP="001C492F">
      <w:pPr>
        <w:rPr>
          <w:rFonts w:ascii="標楷體" w:eastAsia="標楷體" w:hAnsi="標楷體"/>
          <w:b/>
          <w:sz w:val="28"/>
          <w:szCs w:val="28"/>
        </w:rPr>
      </w:pPr>
      <w:r w:rsidRPr="00AB70CE">
        <w:rPr>
          <w:rFonts w:ascii="標楷體" w:eastAsia="標楷體" w:hAnsi="標楷體" w:hint="eastAsia"/>
          <w:b/>
          <w:sz w:val="28"/>
          <w:szCs w:val="28"/>
        </w:rPr>
        <w:t>【</w:t>
      </w:r>
      <w:r>
        <w:rPr>
          <w:rFonts w:ascii="標楷體" w:eastAsia="標楷體" w:hAnsi="標楷體" w:hint="eastAsia"/>
          <w:b/>
          <w:sz w:val="28"/>
          <w:szCs w:val="28"/>
        </w:rPr>
        <w:t>30302</w:t>
      </w:r>
      <w:r w:rsidRPr="00AB70CE">
        <w:rPr>
          <w:rFonts w:ascii="標楷體" w:eastAsia="標楷體" w:hAnsi="標楷體" w:hint="eastAsia"/>
          <w:b/>
          <w:sz w:val="28"/>
          <w:szCs w:val="28"/>
        </w:rPr>
        <w:t xml:space="preserve">　</w:t>
      </w:r>
      <w:r>
        <w:rPr>
          <w:rFonts w:ascii="標楷體" w:eastAsia="標楷體" w:hAnsi="標楷體" w:hint="eastAsia"/>
          <w:b/>
          <w:sz w:val="28"/>
          <w:szCs w:val="28"/>
        </w:rPr>
        <w:t>通匯單位查詢</w:t>
      </w:r>
      <w:r w:rsidRPr="00AB70CE">
        <w:rPr>
          <w:rFonts w:ascii="標楷體" w:eastAsia="標楷體" w:hAnsi="標楷體" w:hint="eastAsia"/>
          <w:b/>
          <w:sz w:val="28"/>
          <w:szCs w:val="28"/>
        </w:rPr>
        <w:t>】</w:t>
      </w:r>
    </w:p>
    <w:p w:rsidR="001C492F" w:rsidRPr="00AB70CE" w:rsidRDefault="001C492F" w:rsidP="001C492F">
      <w:pPr>
        <w:rPr>
          <w:rFonts w:ascii="標楷體" w:eastAsia="標楷體" w:hAnsi="標楷體"/>
          <w:b/>
          <w:sz w:val="28"/>
          <w:szCs w:val="28"/>
        </w:rPr>
      </w:pPr>
      <w:r w:rsidRPr="00AB70CE">
        <w:rPr>
          <w:rFonts w:ascii="標楷體" w:eastAsia="標楷體" w:hAnsi="標楷體" w:hint="eastAsia"/>
          <w:b/>
          <w:sz w:val="28"/>
          <w:szCs w:val="28"/>
        </w:rPr>
        <w:t>壹、交易介紹</w:t>
      </w:r>
    </w:p>
    <w:tbl>
      <w:tblPr>
        <w:tblStyle w:val="a7"/>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976"/>
        <w:gridCol w:w="6300"/>
      </w:tblGrid>
      <w:tr w:rsidR="001C492F" w:rsidRPr="00AB70CE" w:rsidTr="007E7B8F">
        <w:tc>
          <w:tcPr>
            <w:tcW w:w="1976" w:type="dxa"/>
            <w:shd w:val="clear" w:color="auto" w:fill="FFFF99"/>
          </w:tcPr>
          <w:p w:rsidR="001C492F" w:rsidRPr="00AB70CE" w:rsidRDefault="001C492F" w:rsidP="007E7B8F">
            <w:pPr>
              <w:rPr>
                <w:rFonts w:ascii="標楷體" w:eastAsia="標楷體" w:hAnsi="標楷體"/>
              </w:rPr>
            </w:pPr>
            <w:r w:rsidRPr="00AB70CE">
              <w:rPr>
                <w:rFonts w:ascii="標楷體" w:eastAsia="標楷體" w:hAnsi="標楷體" w:hint="eastAsia"/>
              </w:rPr>
              <w:t>原交易代號</w:t>
            </w:r>
          </w:p>
        </w:tc>
        <w:tc>
          <w:tcPr>
            <w:tcW w:w="6300" w:type="dxa"/>
            <w:shd w:val="clear" w:color="auto" w:fill="FFFF99"/>
          </w:tcPr>
          <w:p w:rsidR="001C492F" w:rsidRPr="00AB70CE" w:rsidRDefault="001C492F" w:rsidP="007E7B8F">
            <w:pPr>
              <w:rPr>
                <w:rFonts w:ascii="標楷體" w:eastAsia="標楷體" w:hAnsi="標楷體"/>
              </w:rPr>
            </w:pPr>
            <w:r w:rsidRPr="00AB70CE">
              <w:rPr>
                <w:rFonts w:ascii="標楷體" w:eastAsia="標楷體" w:hAnsi="標楷體" w:hint="eastAsia"/>
              </w:rPr>
              <w:t>原交易名稱</w:t>
            </w:r>
          </w:p>
        </w:tc>
      </w:tr>
      <w:tr w:rsidR="001C492F" w:rsidRPr="00AB70CE" w:rsidTr="007E7B8F">
        <w:tc>
          <w:tcPr>
            <w:tcW w:w="1976" w:type="dxa"/>
          </w:tcPr>
          <w:p w:rsidR="001C492F" w:rsidRPr="00AB70CE" w:rsidRDefault="001C492F" w:rsidP="007E7B8F">
            <w:pPr>
              <w:rPr>
                <w:rFonts w:ascii="標楷體" w:eastAsia="標楷體" w:hAnsi="標楷體"/>
              </w:rPr>
            </w:pPr>
            <w:r>
              <w:rPr>
                <w:rFonts w:ascii="標楷體" w:eastAsia="標楷體" w:hAnsi="標楷體" w:hint="eastAsia"/>
              </w:rPr>
              <w:t>T675</w:t>
            </w:r>
          </w:p>
        </w:tc>
        <w:tc>
          <w:tcPr>
            <w:tcW w:w="6300" w:type="dxa"/>
          </w:tcPr>
          <w:p w:rsidR="001C492F" w:rsidRPr="00AB70CE" w:rsidRDefault="001C492F" w:rsidP="001C492F">
            <w:pPr>
              <w:rPr>
                <w:rFonts w:ascii="標楷體" w:eastAsia="標楷體" w:hAnsi="標楷體"/>
              </w:rPr>
            </w:pPr>
            <w:r w:rsidRPr="001C492F">
              <w:rPr>
                <w:rFonts w:ascii="標楷體" w:eastAsia="標楷體" w:hAnsi="標楷體" w:hint="eastAsia"/>
              </w:rPr>
              <w:t>跨行通匯單位查詢</w:t>
            </w:r>
          </w:p>
        </w:tc>
      </w:tr>
      <w:tr w:rsidR="001C492F" w:rsidRPr="00AB70CE" w:rsidTr="007E7B8F">
        <w:tc>
          <w:tcPr>
            <w:tcW w:w="1976" w:type="dxa"/>
          </w:tcPr>
          <w:p w:rsidR="001C492F" w:rsidRPr="00AB70CE" w:rsidRDefault="001C492F" w:rsidP="007E7B8F">
            <w:pPr>
              <w:rPr>
                <w:rFonts w:ascii="標楷體" w:eastAsia="標楷體" w:hAnsi="標楷體"/>
              </w:rPr>
            </w:pPr>
            <w:r>
              <w:rPr>
                <w:rFonts w:ascii="標楷體" w:eastAsia="標楷體" w:hAnsi="標楷體" w:hint="eastAsia"/>
              </w:rPr>
              <w:t>T676</w:t>
            </w:r>
          </w:p>
        </w:tc>
        <w:tc>
          <w:tcPr>
            <w:tcW w:w="6300" w:type="dxa"/>
          </w:tcPr>
          <w:p w:rsidR="001C492F" w:rsidRPr="00AB70CE" w:rsidRDefault="001C492F" w:rsidP="007E7B8F">
            <w:pPr>
              <w:rPr>
                <w:rFonts w:ascii="標楷體" w:eastAsia="標楷體" w:hAnsi="標楷體"/>
              </w:rPr>
            </w:pPr>
            <w:r w:rsidRPr="001C492F">
              <w:rPr>
                <w:rFonts w:ascii="標楷體" w:eastAsia="標楷體" w:hAnsi="標楷體" w:hint="eastAsia"/>
              </w:rPr>
              <w:t>通匯行總行代號查詢</w:t>
            </w:r>
          </w:p>
        </w:tc>
      </w:tr>
      <w:tr w:rsidR="001C492F" w:rsidRPr="00AB70CE" w:rsidTr="007E7B8F">
        <w:tc>
          <w:tcPr>
            <w:tcW w:w="1976" w:type="dxa"/>
          </w:tcPr>
          <w:p w:rsidR="001C492F" w:rsidRDefault="001C492F" w:rsidP="007E7B8F">
            <w:pPr>
              <w:rPr>
                <w:rFonts w:ascii="標楷體" w:eastAsia="標楷體" w:hAnsi="標楷體"/>
              </w:rPr>
            </w:pPr>
            <w:r>
              <w:rPr>
                <w:rFonts w:ascii="標楷體" w:eastAsia="標楷體" w:hAnsi="標楷體" w:hint="eastAsia"/>
              </w:rPr>
              <w:t>T677</w:t>
            </w:r>
          </w:p>
        </w:tc>
        <w:tc>
          <w:tcPr>
            <w:tcW w:w="6300" w:type="dxa"/>
          </w:tcPr>
          <w:p w:rsidR="001C492F" w:rsidRDefault="001C492F" w:rsidP="007E7B8F">
            <w:pPr>
              <w:rPr>
                <w:rFonts w:ascii="標楷體" w:eastAsia="標楷體" w:hAnsi="標楷體"/>
              </w:rPr>
            </w:pPr>
            <w:r w:rsidRPr="001C492F">
              <w:rPr>
                <w:rFonts w:ascii="標楷體" w:eastAsia="標楷體" w:hAnsi="標楷體" w:hint="eastAsia"/>
              </w:rPr>
              <w:t>通匯行分支查詢</w:t>
            </w:r>
          </w:p>
        </w:tc>
      </w:tr>
    </w:tbl>
    <w:p w:rsidR="001C492F" w:rsidRDefault="001C492F" w:rsidP="001C492F">
      <w:pPr>
        <w:rPr>
          <w:rFonts w:ascii="標楷體" w:eastAsia="標楷體" w:hAnsi="標楷體"/>
        </w:rPr>
      </w:pPr>
      <w:r>
        <w:rPr>
          <w:rFonts w:ascii="標楷體" w:eastAsia="標楷體" w:hAnsi="標楷體" w:hint="eastAsia"/>
        </w:rPr>
        <w:t>‧整合原交易如上。</w:t>
      </w:r>
    </w:p>
    <w:p w:rsidR="001C492F" w:rsidRPr="001C492F" w:rsidRDefault="001C492F" w:rsidP="001C492F">
      <w:pPr>
        <w:rPr>
          <w:rFonts w:ascii="標楷體" w:eastAsia="標楷體" w:hAnsi="標楷體"/>
        </w:rPr>
      </w:pPr>
      <w:r>
        <w:rPr>
          <w:rFonts w:ascii="標楷體" w:eastAsia="標楷體" w:hAnsi="標楷體" w:hint="eastAsia"/>
        </w:rPr>
        <w:t>‧</w:t>
      </w:r>
      <w:r w:rsidRPr="001C492F">
        <w:rPr>
          <w:rFonts w:ascii="標楷體" w:eastAsia="標楷體" w:hAnsi="標楷體" w:hint="eastAsia"/>
        </w:rPr>
        <w:t xml:space="preserve">本交易提供櫃員以通匯單位代碼或通匯單位簡稱來查詢通匯單位資訊 </w:t>
      </w:r>
    </w:p>
    <w:p w:rsidR="001C492F" w:rsidRDefault="001C492F" w:rsidP="001C492F">
      <w:pPr>
        <w:rPr>
          <w:rFonts w:ascii="標楷體" w:eastAsia="標楷體" w:hAnsi="標楷體"/>
        </w:rPr>
      </w:pPr>
      <w:r w:rsidRPr="001C492F">
        <w:rPr>
          <w:rFonts w:ascii="標楷體" w:eastAsia="標楷體" w:hAnsi="標楷體" w:hint="eastAsia"/>
        </w:rPr>
        <w:t>查詢結果可顯示總行、分行、分行明細三種</w:t>
      </w:r>
      <w:r>
        <w:rPr>
          <w:rFonts w:ascii="標楷體" w:eastAsia="標楷體" w:hAnsi="標楷體" w:hint="eastAsia"/>
        </w:rPr>
        <w:t>。</w:t>
      </w:r>
    </w:p>
    <w:p w:rsidR="001C492F" w:rsidRPr="00C16630" w:rsidRDefault="001C492F" w:rsidP="001C492F">
      <w:pPr>
        <w:rPr>
          <w:rFonts w:ascii="標楷體" w:eastAsia="標楷體" w:hAnsi="標楷體"/>
        </w:rPr>
      </w:pPr>
    </w:p>
    <w:p w:rsidR="001C492F" w:rsidRPr="00AB70CE" w:rsidRDefault="001C492F" w:rsidP="001C492F">
      <w:pPr>
        <w:rPr>
          <w:rFonts w:ascii="標楷體" w:eastAsia="標楷體" w:hAnsi="標楷體"/>
          <w:b/>
          <w:sz w:val="28"/>
          <w:szCs w:val="28"/>
        </w:rPr>
      </w:pPr>
      <w:r w:rsidRPr="00AB70CE">
        <w:rPr>
          <w:rFonts w:ascii="標楷體" w:eastAsia="標楷體" w:hAnsi="標楷體" w:hint="eastAsia"/>
          <w:b/>
          <w:sz w:val="28"/>
          <w:szCs w:val="28"/>
        </w:rPr>
        <w:t>貳、執行路徑</w:t>
      </w:r>
    </w:p>
    <w:p w:rsidR="001C492F" w:rsidRPr="0028386A" w:rsidRDefault="001C492F" w:rsidP="001C492F">
      <w:pPr>
        <w:rPr>
          <w:rFonts w:ascii="標楷體" w:eastAsia="標楷體" w:hAnsi="標楷體"/>
        </w:rPr>
      </w:pPr>
      <w:r>
        <w:rPr>
          <w:rFonts w:ascii="標楷體" w:eastAsia="標楷體" w:hAnsi="標楷體" w:hint="eastAsia"/>
        </w:rPr>
        <w:t xml:space="preserve">　　</w:t>
      </w:r>
      <w:r w:rsidR="0028386A" w:rsidRPr="0028386A">
        <w:rPr>
          <w:rFonts w:ascii="標楷體" w:eastAsia="標楷體" w:hAnsi="標楷體" w:hint="eastAsia"/>
          <w:iCs/>
        </w:rPr>
        <w:t>匯款→查詢→通匯單位查詢</w:t>
      </w:r>
    </w:p>
    <w:p w:rsidR="001C492F" w:rsidRDefault="001C492F" w:rsidP="001C492F">
      <w:pPr>
        <w:rPr>
          <w:rFonts w:ascii="標楷體" w:eastAsia="標楷體" w:hAnsi="標楷體"/>
        </w:rPr>
      </w:pPr>
    </w:p>
    <w:p w:rsidR="001C492F" w:rsidRPr="00AB70CE" w:rsidRDefault="001C492F" w:rsidP="001C492F">
      <w:pPr>
        <w:rPr>
          <w:rFonts w:ascii="標楷體" w:eastAsia="標楷體" w:hAnsi="標楷體"/>
          <w:b/>
          <w:sz w:val="28"/>
          <w:szCs w:val="28"/>
        </w:rPr>
      </w:pPr>
      <w:r>
        <w:rPr>
          <w:rFonts w:ascii="標楷體" w:eastAsia="標楷體" w:hAnsi="標楷體" w:hint="eastAsia"/>
          <w:b/>
          <w:sz w:val="28"/>
          <w:szCs w:val="28"/>
        </w:rPr>
        <w:t>參</w:t>
      </w:r>
      <w:r w:rsidRPr="00AB70CE">
        <w:rPr>
          <w:rFonts w:ascii="標楷體" w:eastAsia="標楷體" w:hAnsi="標楷體" w:hint="eastAsia"/>
          <w:b/>
          <w:sz w:val="28"/>
          <w:szCs w:val="28"/>
        </w:rPr>
        <w:t>、</w:t>
      </w:r>
      <w:r>
        <w:rPr>
          <w:rFonts w:ascii="標楷體" w:eastAsia="標楷體" w:hAnsi="標楷體" w:hint="eastAsia"/>
          <w:b/>
          <w:sz w:val="28"/>
          <w:szCs w:val="28"/>
        </w:rPr>
        <w:t>操作及業務規則說明</w:t>
      </w:r>
    </w:p>
    <w:p w:rsidR="00F754D4" w:rsidRDefault="001C492F">
      <w:pPr>
        <w:rPr>
          <w:rFonts w:ascii="標楷體" w:eastAsia="標楷體" w:hAnsi="標楷體"/>
          <w:noProof/>
        </w:rPr>
      </w:pPr>
      <w:r>
        <w:rPr>
          <w:rFonts w:hint="eastAsia"/>
          <w:b/>
          <w:bCs/>
          <w:noProof/>
        </w:rPr>
        <w:t xml:space="preserve">　　</w:t>
      </w:r>
      <w:r w:rsidR="00FD0AB7">
        <w:rPr>
          <w:rFonts w:ascii="標楷體" w:eastAsia="標楷體" w:hAnsi="標楷體" w:hint="eastAsia"/>
          <w:bCs/>
          <w:noProof/>
        </w:rPr>
        <w:t>可分「以代碼查詢」(輸入「銀行代號」及「分行代號」)或「以簡稱查詢」(輸入「通匯單位簡稱」)，</w:t>
      </w:r>
      <w:r w:rsidR="00FD0AB7">
        <w:rPr>
          <w:rFonts w:ascii="標楷體" w:eastAsia="標楷體" w:hAnsi="標楷體" w:hint="eastAsia"/>
          <w:noProof/>
        </w:rPr>
        <w:t>欄位輸入後點選【執行】，可</w:t>
      </w:r>
      <w:r w:rsidR="00F754D4" w:rsidRPr="001C492F">
        <w:rPr>
          <w:rFonts w:ascii="標楷體" w:eastAsia="標楷體" w:hAnsi="標楷體" w:hint="eastAsia"/>
          <w:noProof/>
        </w:rPr>
        <w:t>查詢通匯單位資訊(電話、地址)。</w:t>
      </w:r>
    </w:p>
    <w:p w:rsidR="0011594C" w:rsidRDefault="00DF2671">
      <w:r>
        <w:rPr>
          <w:noProof/>
        </w:rPr>
        <w:drawing>
          <wp:inline distT="0" distB="0" distL="0" distR="0" wp14:anchorId="59E2D307" wp14:editId="32AFEE2F">
            <wp:extent cx="6068985" cy="3287306"/>
            <wp:effectExtent l="0" t="0" r="8255" b="889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2259" cy="3294496"/>
                    </a:xfrm>
                    <a:prstGeom prst="rect">
                      <a:avLst/>
                    </a:prstGeom>
                  </pic:spPr>
                </pic:pic>
              </a:graphicData>
            </a:graphic>
          </wp:inline>
        </w:drawing>
      </w:r>
    </w:p>
    <w:p w:rsidR="00DF2671" w:rsidRDefault="004C3E9F">
      <w:r>
        <w:rPr>
          <w:noProof/>
        </w:rPr>
        <w:lastRenderedPageBreak/>
        <w:drawing>
          <wp:inline distT="0" distB="0" distL="0" distR="0" wp14:anchorId="582608AF" wp14:editId="53D6DF9E">
            <wp:extent cx="6098519" cy="3303303"/>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09874" cy="3309454"/>
                    </a:xfrm>
                    <a:prstGeom prst="rect">
                      <a:avLst/>
                    </a:prstGeom>
                  </pic:spPr>
                </pic:pic>
              </a:graphicData>
            </a:graphic>
          </wp:inline>
        </w:drawing>
      </w:r>
    </w:p>
    <w:p w:rsidR="004C3E9F" w:rsidRDefault="004C3E9F">
      <w:r>
        <w:rPr>
          <w:noProof/>
        </w:rPr>
        <w:drawing>
          <wp:inline distT="0" distB="0" distL="0" distR="0" wp14:anchorId="3456292F" wp14:editId="30214053">
            <wp:extent cx="6083405" cy="3295117"/>
            <wp:effectExtent l="0" t="0" r="0" b="63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1329" cy="3315659"/>
                    </a:xfrm>
                    <a:prstGeom prst="rect">
                      <a:avLst/>
                    </a:prstGeom>
                  </pic:spPr>
                </pic:pic>
              </a:graphicData>
            </a:graphic>
          </wp:inline>
        </w:drawing>
      </w:r>
    </w:p>
    <w:p w:rsidR="001C492F" w:rsidRPr="001C492F" w:rsidRDefault="001C492F" w:rsidP="001C492F">
      <w:pPr>
        <w:rPr>
          <w:rFonts w:ascii="標楷體" w:eastAsia="標楷體" w:hAnsi="標楷體"/>
          <w:b/>
          <w:sz w:val="28"/>
          <w:szCs w:val="28"/>
        </w:rPr>
      </w:pPr>
      <w:r w:rsidRPr="001C492F">
        <w:rPr>
          <w:rFonts w:ascii="標楷體" w:eastAsia="標楷體" w:hAnsi="標楷體" w:hint="eastAsia"/>
          <w:b/>
          <w:sz w:val="28"/>
          <w:szCs w:val="28"/>
        </w:rPr>
        <w:t>肆、權限限制</w:t>
      </w:r>
    </w:p>
    <w:p w:rsidR="001C492F" w:rsidRDefault="001C492F" w:rsidP="001C492F">
      <w:r w:rsidRPr="001C492F">
        <w:rPr>
          <w:rFonts w:ascii="標楷體" w:eastAsia="標楷體" w:hAnsi="標楷體" w:hint="eastAsia"/>
          <w:color w:val="FF0000"/>
        </w:rPr>
        <w:t xml:space="preserve">　　無。</w:t>
      </w:r>
      <w:bookmarkStart w:id="0" w:name="_GoBack"/>
      <w:bookmarkEnd w:id="0"/>
    </w:p>
    <w:sectPr w:rsidR="001C492F" w:rsidSect="00014D0D">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F9C" w:rsidRDefault="00533F9C" w:rsidP="001C492F">
      <w:r>
        <w:separator/>
      </w:r>
    </w:p>
  </w:endnote>
  <w:endnote w:type="continuationSeparator" w:id="0">
    <w:p w:rsidR="00533F9C" w:rsidRDefault="00533F9C" w:rsidP="001C4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F9C" w:rsidRDefault="00533F9C" w:rsidP="001C492F">
      <w:r>
        <w:separator/>
      </w:r>
    </w:p>
  </w:footnote>
  <w:footnote w:type="continuationSeparator" w:id="0">
    <w:p w:rsidR="00533F9C" w:rsidRDefault="00533F9C" w:rsidP="001C49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bordersDoNotSurroundHeader/>
  <w:bordersDoNotSurroundFooter/>
  <w:defaultTabStop w:val="48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C96"/>
    <w:rsid w:val="00014D0D"/>
    <w:rsid w:val="001C492F"/>
    <w:rsid w:val="0028386A"/>
    <w:rsid w:val="004C3E9F"/>
    <w:rsid w:val="00533F9C"/>
    <w:rsid w:val="00557086"/>
    <w:rsid w:val="0071602B"/>
    <w:rsid w:val="00B02AC9"/>
    <w:rsid w:val="00DF2671"/>
    <w:rsid w:val="00EB24FB"/>
    <w:rsid w:val="00F70C96"/>
    <w:rsid w:val="00F754D4"/>
    <w:rsid w:val="00FD0A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7703467A-420C-4929-9F7B-0C2D8B718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492F"/>
    <w:pPr>
      <w:tabs>
        <w:tab w:val="center" w:pos="4153"/>
        <w:tab w:val="right" w:pos="8306"/>
      </w:tabs>
      <w:snapToGrid w:val="0"/>
    </w:pPr>
    <w:rPr>
      <w:sz w:val="20"/>
      <w:szCs w:val="20"/>
    </w:rPr>
  </w:style>
  <w:style w:type="character" w:customStyle="1" w:styleId="a4">
    <w:name w:val="頁首 字元"/>
    <w:basedOn w:val="a0"/>
    <w:link w:val="a3"/>
    <w:uiPriority w:val="99"/>
    <w:rsid w:val="001C492F"/>
    <w:rPr>
      <w:sz w:val="20"/>
      <w:szCs w:val="20"/>
    </w:rPr>
  </w:style>
  <w:style w:type="paragraph" w:styleId="a5">
    <w:name w:val="footer"/>
    <w:basedOn w:val="a"/>
    <w:link w:val="a6"/>
    <w:uiPriority w:val="99"/>
    <w:unhideWhenUsed/>
    <w:rsid w:val="001C492F"/>
    <w:pPr>
      <w:tabs>
        <w:tab w:val="center" w:pos="4153"/>
        <w:tab w:val="right" w:pos="8306"/>
      </w:tabs>
      <w:snapToGrid w:val="0"/>
    </w:pPr>
    <w:rPr>
      <w:sz w:val="20"/>
      <w:szCs w:val="20"/>
    </w:rPr>
  </w:style>
  <w:style w:type="character" w:customStyle="1" w:styleId="a6">
    <w:name w:val="頁尾 字元"/>
    <w:basedOn w:val="a0"/>
    <w:link w:val="a5"/>
    <w:uiPriority w:val="99"/>
    <w:rsid w:val="001C492F"/>
    <w:rPr>
      <w:sz w:val="20"/>
      <w:szCs w:val="20"/>
    </w:rPr>
  </w:style>
  <w:style w:type="table" w:styleId="a7">
    <w:name w:val="Table Grid"/>
    <w:basedOn w:val="a1"/>
    <w:uiPriority w:val="39"/>
    <w:rsid w:val="001C49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Emphasis"/>
    <w:basedOn w:val="a0"/>
    <w:uiPriority w:val="20"/>
    <w:qFormat/>
    <w:rsid w:val="002838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772248">
      <w:bodyDiv w:val="1"/>
      <w:marLeft w:val="0"/>
      <w:marRight w:val="0"/>
      <w:marTop w:val="6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文件" ma:contentTypeID="0x0101008EE93CDA670F3F40AB5F9B3E3B2F9410" ma:contentTypeVersion="2" ma:contentTypeDescription="建立新的文件。" ma:contentTypeScope="" ma:versionID="0a402c140a763d6ca61f0c62909dec3d">
  <xsd:schema xmlns:xsd="http://www.w3.org/2001/XMLSchema" xmlns:xs="http://www.w3.org/2001/XMLSchema" xmlns:p="http://schemas.microsoft.com/office/2006/metadata/properties" xmlns:ns1="http://schemas.microsoft.com/sharepoint/v3" xmlns:ns2="2501d877-11f2-41e1-bfb7-a4a20d8e2bae" targetNamespace="http://schemas.microsoft.com/office/2006/metadata/properties" ma:root="true" ma:fieldsID="9f351b16a6fb9d5810e59cab80b3dd6e" ns1:_="" ns2:_="">
    <xsd:import namespace="http://schemas.microsoft.com/sharepoint/v3"/>
    <xsd:import namespace="2501d877-11f2-41e1-bfb7-a4a20d8e2bae"/>
    <xsd:element name="properties">
      <xsd:complexType>
        <xsd:sequence>
          <xsd:element name="documentManagement">
            <xsd:complexType>
              <xsd:all>
                <xsd:element ref="ns1:PublishingStartDate" minOccurs="0"/>
                <xsd:element ref="ns1:PublishingExpirationDate"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排程開始日期" ma:description="[排程開始日期] 是由發佈功能建立的網站欄。此欄用來指定首次對網站訪客顯示此頁面的日期和時間。" ma:internalName="PublishingStartDate">
      <xsd:simpleType>
        <xsd:restriction base="dms:Unknown"/>
      </xsd:simpleType>
    </xsd:element>
    <xsd:element name="PublishingExpirationDate" ma:index="9" nillable="true" ma:displayName="排程結束日期" ma:description="[排程結束日期] 是由發佈功能建立的網站欄。此欄用來指定不再對網站訪客顯示此頁面的日期和時間。"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501d877-11f2-41e1-bfb7-a4a20d8e2bae" elementFormDefault="qualified">
    <xsd:import namespace="http://schemas.microsoft.com/office/2006/documentManagement/types"/>
    <xsd:import namespace="http://schemas.microsoft.com/office/infopath/2007/PartnerControls"/>
    <xsd:element name="SharedWithUsers" ma:index="10" nillable="true" ma:displayName="共用對象:"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A9803E-E037-4BD5-A532-2E1C4801A03A}">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58797373-412F-4530-9F16-B5AC067FE0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501d877-11f2-41e1-bfb7-a4a20d8e2b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60F960-7866-4ADA-ABA1-389B64D316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Pages>
  <Words>41</Words>
  <Characters>236</Characters>
  <Application>Microsoft Office Word</Application>
  <DocSecurity>0</DocSecurity>
  <Lines>1</Lines>
  <Paragraphs>1</Paragraphs>
  <ScaleCrop>false</ScaleCrop>
  <Company/>
  <LinksUpToDate>false</LinksUpToDate>
  <CharactersWithSpaces>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TEST19590</dc:creator>
  <cp:keywords/>
  <dc:description/>
  <cp:lastModifiedBy>吳毓玟12518</cp:lastModifiedBy>
  <cp:revision>7</cp:revision>
  <dcterms:created xsi:type="dcterms:W3CDTF">2020-04-23T01:19:00Z</dcterms:created>
  <dcterms:modified xsi:type="dcterms:W3CDTF">2020-07-03T09:16:00Z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0x0101008EE93CDA670F3F40AB5F9B3E3B2F9410</vt:lpwstr>
  </property>
</Properties>
</file>