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E09" w:rsidRPr="00684B3A" w:rsidRDefault="00177E09" w:rsidP="00177E09">
      <w:pPr>
        <w:rPr>
          <w:rFonts w:ascii="Arial" w:eastAsia="標楷體" w:hAnsi="Arial"/>
          <w:b/>
          <w:sz w:val="28"/>
          <w:szCs w:val="28"/>
        </w:rPr>
      </w:pPr>
      <w:r w:rsidRPr="00684B3A">
        <w:rPr>
          <w:rFonts w:ascii="Arial" w:eastAsia="標楷體" w:hAnsi="Arial" w:hint="eastAsia"/>
          <w:b/>
          <w:sz w:val="28"/>
          <w:szCs w:val="28"/>
        </w:rPr>
        <w:t>【</w:t>
      </w:r>
      <w:r w:rsidR="002F5121" w:rsidRPr="00C23654">
        <w:rPr>
          <w:rFonts w:ascii="Arial" w:eastAsia="標楷體" w:hAnsi="Arial" w:hint="eastAsia"/>
          <w:b/>
          <w:color w:val="333333"/>
          <w:sz w:val="28"/>
          <w:szCs w:val="28"/>
        </w:rPr>
        <w:t>42204</w:t>
      </w:r>
      <w:r w:rsidR="002F5121">
        <w:rPr>
          <w:rFonts w:ascii="Arial" w:eastAsia="標楷體" w:hAnsi="Arial" w:hint="eastAsia"/>
          <w:b/>
          <w:color w:val="333333"/>
          <w:sz w:val="28"/>
          <w:szCs w:val="28"/>
        </w:rPr>
        <w:t xml:space="preserve">　</w:t>
      </w:r>
      <w:r w:rsidR="002F5121" w:rsidRPr="00C23654">
        <w:rPr>
          <w:rFonts w:ascii="Arial" w:eastAsia="標楷體" w:hAnsi="Arial" w:hint="eastAsia"/>
          <w:b/>
          <w:color w:val="333333"/>
          <w:sz w:val="28"/>
          <w:szCs w:val="28"/>
        </w:rPr>
        <w:t>整批</w:t>
      </w:r>
      <w:bookmarkStart w:id="0" w:name="_GoBack"/>
      <w:bookmarkEnd w:id="0"/>
      <w:r w:rsidR="002F5121" w:rsidRPr="00C23654">
        <w:rPr>
          <w:rFonts w:ascii="Arial" w:eastAsia="標楷體" w:hAnsi="Arial" w:hint="eastAsia"/>
          <w:b/>
          <w:color w:val="333333"/>
          <w:sz w:val="28"/>
          <w:szCs w:val="28"/>
        </w:rPr>
        <w:t>轉帳颱風天轉檔作業</w:t>
      </w:r>
      <w:r w:rsidRPr="00684B3A">
        <w:rPr>
          <w:rFonts w:ascii="Arial" w:eastAsia="標楷體" w:hAnsi="Arial" w:hint="eastAsia"/>
          <w:b/>
          <w:sz w:val="28"/>
          <w:szCs w:val="28"/>
        </w:rPr>
        <w:t>】</w:t>
      </w:r>
    </w:p>
    <w:p w:rsidR="00177E09" w:rsidRPr="00684B3A" w:rsidRDefault="00177E09" w:rsidP="00177E09">
      <w:pPr>
        <w:rPr>
          <w:rFonts w:ascii="Arial" w:eastAsia="標楷體" w:hAnsi="Arial"/>
          <w:b/>
          <w:sz w:val="28"/>
          <w:szCs w:val="28"/>
        </w:rPr>
      </w:pPr>
      <w:r w:rsidRPr="00684B3A">
        <w:rPr>
          <w:rFonts w:ascii="Arial" w:eastAsia="標楷體" w:hAnsi="Arial" w:hint="eastAsia"/>
          <w:b/>
          <w:sz w:val="28"/>
          <w:szCs w:val="28"/>
        </w:rPr>
        <w:t>壹、交易介紹</w:t>
      </w:r>
    </w:p>
    <w:tbl>
      <w:tblPr>
        <w:tblStyle w:val="a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6"/>
        <w:gridCol w:w="6300"/>
      </w:tblGrid>
      <w:tr w:rsidR="00177E09" w:rsidRPr="00684B3A" w:rsidTr="002A6FF3">
        <w:tc>
          <w:tcPr>
            <w:tcW w:w="1976" w:type="dxa"/>
            <w:shd w:val="clear" w:color="auto" w:fill="FFFF99"/>
          </w:tcPr>
          <w:p w:rsidR="00177E09" w:rsidRPr="00684B3A" w:rsidRDefault="00177E09" w:rsidP="002A6FF3">
            <w:pPr>
              <w:rPr>
                <w:rFonts w:ascii="Arial" w:eastAsia="標楷體" w:hAnsi="Arial"/>
              </w:rPr>
            </w:pPr>
            <w:r w:rsidRPr="00684B3A">
              <w:rPr>
                <w:rFonts w:ascii="Arial" w:eastAsia="標楷體" w:hAnsi="Arial" w:hint="eastAsia"/>
              </w:rPr>
              <w:t>原交易代號</w:t>
            </w:r>
          </w:p>
        </w:tc>
        <w:tc>
          <w:tcPr>
            <w:tcW w:w="6300" w:type="dxa"/>
            <w:shd w:val="clear" w:color="auto" w:fill="FFFF99"/>
          </w:tcPr>
          <w:p w:rsidR="00177E09" w:rsidRPr="00684B3A" w:rsidRDefault="00177E09" w:rsidP="002A6FF3">
            <w:pPr>
              <w:rPr>
                <w:rFonts w:ascii="Arial" w:eastAsia="標楷體" w:hAnsi="Arial"/>
              </w:rPr>
            </w:pPr>
            <w:r w:rsidRPr="00684B3A">
              <w:rPr>
                <w:rFonts w:ascii="Arial" w:eastAsia="標楷體" w:hAnsi="Arial" w:hint="eastAsia"/>
              </w:rPr>
              <w:t>原交易名稱</w:t>
            </w:r>
          </w:p>
        </w:tc>
      </w:tr>
      <w:tr w:rsidR="00177E09" w:rsidRPr="00684B3A" w:rsidTr="002A6FF3">
        <w:tc>
          <w:tcPr>
            <w:tcW w:w="1976" w:type="dxa"/>
          </w:tcPr>
          <w:p w:rsidR="00177E09" w:rsidRPr="00684B3A" w:rsidRDefault="00177E09" w:rsidP="002A6FF3">
            <w:pPr>
              <w:rPr>
                <w:rFonts w:ascii="Arial" w:eastAsia="標楷體" w:hAnsi="Arial"/>
              </w:rPr>
            </w:pPr>
            <w:r>
              <w:rPr>
                <w:rFonts w:ascii="Arial" w:eastAsia="標楷體" w:hAnsi="Arial" w:hint="eastAsia"/>
              </w:rPr>
              <w:t>無</w:t>
            </w:r>
          </w:p>
        </w:tc>
        <w:tc>
          <w:tcPr>
            <w:tcW w:w="6300" w:type="dxa"/>
          </w:tcPr>
          <w:p w:rsidR="00177E09" w:rsidRPr="00684B3A" w:rsidRDefault="00177E09" w:rsidP="002A6FF3">
            <w:pPr>
              <w:rPr>
                <w:rFonts w:ascii="Arial" w:eastAsia="標楷體" w:hAnsi="Arial"/>
              </w:rPr>
            </w:pPr>
            <w:r>
              <w:rPr>
                <w:rFonts w:ascii="Arial" w:eastAsia="標楷體" w:hAnsi="Arial" w:hint="eastAsia"/>
              </w:rPr>
              <w:t>無</w:t>
            </w:r>
          </w:p>
        </w:tc>
      </w:tr>
    </w:tbl>
    <w:p w:rsidR="00334594" w:rsidRDefault="00334594" w:rsidP="00177E09">
      <w:pPr>
        <w:rPr>
          <w:rFonts w:ascii="Arial" w:eastAsia="標楷體" w:hAnsi="Arial"/>
        </w:rPr>
      </w:pPr>
      <w:r w:rsidRPr="00177E09">
        <w:rPr>
          <w:rFonts w:ascii="Arial" w:eastAsia="標楷體" w:hAnsi="Arial" w:hint="eastAsia"/>
        </w:rPr>
        <w:t>‧</w:t>
      </w:r>
      <w:r>
        <w:rPr>
          <w:rFonts w:ascii="Arial" w:eastAsia="標楷體" w:hAnsi="Arial" w:hint="eastAsia"/>
        </w:rPr>
        <w:t>整合原交易如上。</w:t>
      </w:r>
    </w:p>
    <w:p w:rsidR="00177E09" w:rsidRDefault="00177E09" w:rsidP="00177E09">
      <w:pPr>
        <w:rPr>
          <w:rFonts w:ascii="Arial" w:eastAsia="標楷體" w:hAnsi="Arial"/>
        </w:rPr>
      </w:pPr>
      <w:r w:rsidRPr="00177E09">
        <w:rPr>
          <w:rFonts w:ascii="Arial" w:eastAsia="標楷體" w:hAnsi="Arial" w:hint="eastAsia"/>
        </w:rPr>
        <w:t>‧</w:t>
      </w:r>
      <w:r w:rsidR="00334594">
        <w:rPr>
          <w:rFonts w:ascii="Arial" w:eastAsia="標楷體" w:hAnsi="Arial" w:hint="eastAsia"/>
        </w:rPr>
        <w:t>本交易乃提供資訊處進行整批轉帳颱風天轉檔作業；</w:t>
      </w:r>
      <w:r w:rsidR="00980C67" w:rsidRPr="00980C67">
        <w:rPr>
          <w:rFonts w:ascii="Arial" w:eastAsia="標楷體" w:hAnsi="Arial" w:cs="新細明體" w:hint="eastAsia"/>
          <w:kern w:val="0"/>
          <w:szCs w:val="24"/>
        </w:rPr>
        <w:t>把當日證交款資料改換成指定日期的資料，同時產生檔案因颱風天作業區域不定，故需由人工挑出需轉檔或作廢的資料，以輸入檔案</w:t>
      </w:r>
      <w:r w:rsidR="00334594">
        <w:rPr>
          <w:rFonts w:ascii="Arial" w:eastAsia="標楷體" w:hAnsi="Arial" w:cs="新細明體" w:hint="eastAsia"/>
          <w:kern w:val="0"/>
          <w:szCs w:val="24"/>
        </w:rPr>
        <w:t>的方式讓系統知道哪些要轉檔到哪一個營業日或作廢轉出檔案之批號需與轉入之批號相同，若</w:t>
      </w:r>
      <w:r w:rsidR="00980C67" w:rsidRPr="00980C67">
        <w:rPr>
          <w:rFonts w:ascii="Arial" w:eastAsia="標楷體" w:hAnsi="Arial" w:cs="新細明體" w:hint="eastAsia"/>
          <w:kern w:val="0"/>
          <w:szCs w:val="24"/>
        </w:rPr>
        <w:t>正好批號被用掉，則視為失敗，需顯示於畫面。</w:t>
      </w:r>
    </w:p>
    <w:p w:rsidR="00177E09" w:rsidRPr="00684B3A" w:rsidRDefault="00177E09" w:rsidP="00177E09">
      <w:pPr>
        <w:rPr>
          <w:rFonts w:ascii="Arial" w:eastAsia="標楷體" w:hAnsi="Arial"/>
        </w:rPr>
      </w:pPr>
    </w:p>
    <w:p w:rsidR="00177E09" w:rsidRPr="00684B3A" w:rsidRDefault="00177E09" w:rsidP="00177E09">
      <w:pPr>
        <w:rPr>
          <w:rFonts w:ascii="Arial" w:eastAsia="標楷體" w:hAnsi="Arial"/>
          <w:b/>
          <w:sz w:val="28"/>
          <w:szCs w:val="28"/>
        </w:rPr>
      </w:pPr>
      <w:r w:rsidRPr="00684B3A">
        <w:rPr>
          <w:rFonts w:ascii="Arial" w:eastAsia="標楷體" w:hAnsi="Arial" w:hint="eastAsia"/>
          <w:b/>
          <w:sz w:val="28"/>
          <w:szCs w:val="28"/>
        </w:rPr>
        <w:t>貳、執行路徑</w:t>
      </w:r>
    </w:p>
    <w:p w:rsidR="0055072F" w:rsidRPr="00DA3B99" w:rsidRDefault="0055072F" w:rsidP="0055072F">
      <w:pPr>
        <w:rPr>
          <w:rFonts w:ascii="Arial" w:eastAsia="標楷體" w:hAnsi="Arial" w:cs="新細明體"/>
          <w:b/>
          <w:color w:val="333333"/>
          <w:kern w:val="0"/>
          <w:szCs w:val="24"/>
        </w:rPr>
      </w:pPr>
      <w:r>
        <w:rPr>
          <w:rFonts w:ascii="Arial" w:eastAsia="標楷體" w:hAnsi="Arial" w:cs="新細明體" w:hint="eastAsia"/>
          <w:color w:val="333333"/>
          <w:kern w:val="0"/>
          <w:szCs w:val="24"/>
        </w:rPr>
        <w:t xml:space="preserve">　　</w:t>
      </w:r>
      <w:r w:rsidRPr="00DA3B99">
        <w:rPr>
          <w:rFonts w:ascii="Arial" w:eastAsia="標楷體" w:hAnsi="Arial" w:cs="新細明體" w:hint="eastAsia"/>
          <w:color w:val="333333"/>
          <w:kern w:val="0"/>
          <w:szCs w:val="24"/>
        </w:rPr>
        <w:t>整批媒體作業→整批轉帳→整批轉帳颱風天轉檔作業</w:t>
      </w:r>
    </w:p>
    <w:p w:rsidR="00177E09" w:rsidRPr="00684B3A" w:rsidRDefault="00177E09" w:rsidP="00177E09">
      <w:pPr>
        <w:rPr>
          <w:rFonts w:ascii="Arial" w:eastAsia="標楷體" w:hAnsi="Arial"/>
        </w:rPr>
      </w:pPr>
    </w:p>
    <w:p w:rsidR="00177E09" w:rsidRPr="00684B3A" w:rsidRDefault="00177E09" w:rsidP="00177E09">
      <w:pPr>
        <w:rPr>
          <w:rFonts w:ascii="Arial" w:eastAsia="標楷體" w:hAnsi="Arial"/>
          <w:b/>
          <w:sz w:val="28"/>
          <w:szCs w:val="28"/>
        </w:rPr>
      </w:pPr>
      <w:r w:rsidRPr="00684B3A">
        <w:rPr>
          <w:rFonts w:ascii="Arial" w:eastAsia="標楷體" w:hAnsi="Arial" w:hint="eastAsia"/>
          <w:b/>
          <w:sz w:val="28"/>
          <w:szCs w:val="28"/>
        </w:rPr>
        <w:t>參、操作及業務規則說明</w:t>
      </w:r>
    </w:p>
    <w:p w:rsidR="00520720" w:rsidRDefault="00980C67">
      <w:pPr>
        <w:rPr>
          <w:rFonts w:ascii="Arial" w:eastAsia="標楷體" w:hAnsi="Arial" w:cs="新細明體"/>
          <w:color w:val="333333"/>
          <w:kern w:val="0"/>
          <w:szCs w:val="24"/>
        </w:rPr>
      </w:pPr>
      <w:r>
        <w:rPr>
          <w:rFonts w:ascii="Arial" w:eastAsia="標楷體" w:hAnsi="Arial" w:cs="新細明體" w:hint="eastAsia"/>
          <w:color w:val="333333"/>
          <w:kern w:val="0"/>
          <w:szCs w:val="24"/>
        </w:rPr>
        <w:t xml:space="preserve">　　</w:t>
      </w:r>
      <w:r w:rsidR="0038622F" w:rsidRPr="00DA3B99">
        <w:rPr>
          <w:rFonts w:ascii="Arial" w:eastAsia="標楷體" w:hAnsi="Arial" w:cs="新細明體" w:hint="eastAsia"/>
          <w:color w:val="333333"/>
          <w:kern w:val="0"/>
          <w:szCs w:val="24"/>
        </w:rPr>
        <w:t>本交易提供資訊處做為整批轉帳颱風天轉檔作業使用。</w:t>
      </w:r>
    </w:p>
    <w:p w:rsidR="0006157D" w:rsidRDefault="0006157D">
      <w:pPr>
        <w:rPr>
          <w:rFonts w:asciiTheme="minorEastAsia" w:hAnsiTheme="minorEastAsia"/>
          <w:b/>
        </w:rPr>
      </w:pPr>
      <w:r>
        <w:rPr>
          <w:noProof/>
        </w:rPr>
        <w:drawing>
          <wp:inline distT="0" distB="0" distL="0" distR="0" wp14:anchorId="143B73B7" wp14:editId="70201FE5">
            <wp:extent cx="5274310" cy="31502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50235"/>
                    </a:xfrm>
                    <a:prstGeom prst="rect">
                      <a:avLst/>
                    </a:prstGeom>
                  </pic:spPr>
                </pic:pic>
              </a:graphicData>
            </a:graphic>
          </wp:inline>
        </w:drawing>
      </w:r>
    </w:p>
    <w:p w:rsidR="00C23654" w:rsidRDefault="00C23654">
      <w:pPr>
        <w:rPr>
          <w:rFonts w:asciiTheme="minorEastAsia" w:hAnsiTheme="minorEastAsia"/>
          <w:b/>
        </w:rPr>
      </w:pPr>
    </w:p>
    <w:p w:rsidR="00617C37" w:rsidRPr="00684B3A" w:rsidRDefault="00617C37" w:rsidP="00617C37">
      <w:pPr>
        <w:rPr>
          <w:rFonts w:ascii="Arial" w:eastAsia="標楷體" w:hAnsi="Arial"/>
          <w:b/>
          <w:sz w:val="28"/>
          <w:szCs w:val="28"/>
        </w:rPr>
      </w:pPr>
      <w:r w:rsidRPr="00684B3A">
        <w:rPr>
          <w:rFonts w:ascii="Arial" w:eastAsia="標楷體" w:hAnsi="Arial" w:hint="eastAsia"/>
          <w:b/>
          <w:sz w:val="28"/>
          <w:szCs w:val="28"/>
        </w:rPr>
        <w:t>肆、權限限制</w:t>
      </w:r>
    </w:p>
    <w:p w:rsidR="00C23654" w:rsidRPr="00520720" w:rsidRDefault="00617C37" w:rsidP="00617C37">
      <w:pPr>
        <w:rPr>
          <w:rFonts w:asciiTheme="minorEastAsia" w:hAnsiTheme="minorEastAsia"/>
          <w:b/>
        </w:rPr>
      </w:pPr>
      <w:r w:rsidRPr="00684B3A">
        <w:rPr>
          <w:rFonts w:ascii="Arial" w:eastAsia="標楷體" w:hAnsi="Arial" w:hint="eastAsia"/>
          <w:color w:val="FF0000"/>
        </w:rPr>
        <w:t xml:space="preserve">　</w:t>
      </w:r>
      <w:r w:rsidRPr="00334594">
        <w:rPr>
          <w:rFonts w:ascii="Arial" w:eastAsia="標楷體" w:hAnsi="Arial" w:hint="eastAsia"/>
        </w:rPr>
        <w:t xml:space="preserve">　該交易限｛資訊處｝執行。</w:t>
      </w:r>
    </w:p>
    <w:sectPr w:rsidR="00C23654" w:rsidRPr="005207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340" w:rsidRDefault="00725340" w:rsidP="00A6062A">
      <w:r>
        <w:separator/>
      </w:r>
    </w:p>
  </w:endnote>
  <w:endnote w:type="continuationSeparator" w:id="0">
    <w:p w:rsidR="00725340" w:rsidRDefault="00725340" w:rsidP="00A6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340" w:rsidRDefault="00725340" w:rsidP="00A6062A">
      <w:r>
        <w:separator/>
      </w:r>
    </w:p>
  </w:footnote>
  <w:footnote w:type="continuationSeparator" w:id="0">
    <w:p w:rsidR="00725340" w:rsidRDefault="00725340" w:rsidP="00A606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51676"/>
    <w:multiLevelType w:val="multilevel"/>
    <w:tmpl w:val="A7B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18"/>
    <w:rsid w:val="0006157D"/>
    <w:rsid w:val="00162618"/>
    <w:rsid w:val="001703A0"/>
    <w:rsid w:val="00170660"/>
    <w:rsid w:val="00176F34"/>
    <w:rsid w:val="00177E09"/>
    <w:rsid w:val="002F5121"/>
    <w:rsid w:val="00315DD5"/>
    <w:rsid w:val="00334594"/>
    <w:rsid w:val="00377B66"/>
    <w:rsid w:val="0038622F"/>
    <w:rsid w:val="00520720"/>
    <w:rsid w:val="0052164E"/>
    <w:rsid w:val="0055072F"/>
    <w:rsid w:val="00617C37"/>
    <w:rsid w:val="00725340"/>
    <w:rsid w:val="007461AC"/>
    <w:rsid w:val="007D15F3"/>
    <w:rsid w:val="0080558B"/>
    <w:rsid w:val="00980C67"/>
    <w:rsid w:val="00A6062A"/>
    <w:rsid w:val="00A77139"/>
    <w:rsid w:val="00B8755C"/>
    <w:rsid w:val="00C23654"/>
    <w:rsid w:val="00C93328"/>
    <w:rsid w:val="00DA1D68"/>
    <w:rsid w:val="00DA3B99"/>
    <w:rsid w:val="00DC6FAC"/>
    <w:rsid w:val="00DF613F"/>
    <w:rsid w:val="00FC7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34E974"/>
  <w15:chartTrackingRefBased/>
  <w15:docId w15:val="{2A94CF59-5AB1-46DE-818D-892968C1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38622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38622F"/>
    <w:rPr>
      <w:rFonts w:ascii="新細明體" w:eastAsia="新細明體" w:hAnsi="新細明體" w:cs="新細明體"/>
      <w:b/>
      <w:bCs/>
      <w:kern w:val="0"/>
      <w:sz w:val="27"/>
      <w:szCs w:val="27"/>
    </w:rPr>
  </w:style>
  <w:style w:type="paragraph" w:customStyle="1" w:styleId="style2">
    <w:name w:val="style2"/>
    <w:basedOn w:val="a"/>
    <w:rsid w:val="0038622F"/>
    <w:pPr>
      <w:widowControl/>
      <w:spacing w:before="100" w:beforeAutospacing="1" w:after="100" w:afterAutospacing="1"/>
    </w:pPr>
    <w:rPr>
      <w:rFonts w:ascii="微軟正黑體" w:eastAsia="微軟正黑體" w:hAnsi="微軟正黑體" w:cs="新細明體"/>
      <w:kern w:val="0"/>
      <w:szCs w:val="24"/>
    </w:rPr>
  </w:style>
  <w:style w:type="character" w:styleId="a3">
    <w:name w:val="Emphasis"/>
    <w:basedOn w:val="a0"/>
    <w:uiPriority w:val="20"/>
    <w:qFormat/>
    <w:rsid w:val="0038622F"/>
    <w:rPr>
      <w:i/>
      <w:iCs/>
    </w:rPr>
  </w:style>
  <w:style w:type="paragraph" w:styleId="a4">
    <w:name w:val="header"/>
    <w:basedOn w:val="a"/>
    <w:link w:val="a5"/>
    <w:uiPriority w:val="99"/>
    <w:unhideWhenUsed/>
    <w:rsid w:val="00A6062A"/>
    <w:pPr>
      <w:tabs>
        <w:tab w:val="center" w:pos="4153"/>
        <w:tab w:val="right" w:pos="8306"/>
      </w:tabs>
      <w:snapToGrid w:val="0"/>
    </w:pPr>
    <w:rPr>
      <w:sz w:val="20"/>
      <w:szCs w:val="20"/>
    </w:rPr>
  </w:style>
  <w:style w:type="character" w:customStyle="1" w:styleId="a5">
    <w:name w:val="頁首 字元"/>
    <w:basedOn w:val="a0"/>
    <w:link w:val="a4"/>
    <w:uiPriority w:val="99"/>
    <w:rsid w:val="00A6062A"/>
    <w:rPr>
      <w:sz w:val="20"/>
      <w:szCs w:val="20"/>
    </w:rPr>
  </w:style>
  <w:style w:type="paragraph" w:styleId="a6">
    <w:name w:val="footer"/>
    <w:basedOn w:val="a"/>
    <w:link w:val="a7"/>
    <w:uiPriority w:val="99"/>
    <w:unhideWhenUsed/>
    <w:rsid w:val="00A6062A"/>
    <w:pPr>
      <w:tabs>
        <w:tab w:val="center" w:pos="4153"/>
        <w:tab w:val="right" w:pos="8306"/>
      </w:tabs>
      <w:snapToGrid w:val="0"/>
    </w:pPr>
    <w:rPr>
      <w:sz w:val="20"/>
      <w:szCs w:val="20"/>
    </w:rPr>
  </w:style>
  <w:style w:type="character" w:customStyle="1" w:styleId="a7">
    <w:name w:val="頁尾 字元"/>
    <w:basedOn w:val="a0"/>
    <w:link w:val="a6"/>
    <w:uiPriority w:val="99"/>
    <w:rsid w:val="00A6062A"/>
    <w:rPr>
      <w:sz w:val="20"/>
      <w:szCs w:val="20"/>
    </w:rPr>
  </w:style>
  <w:style w:type="paragraph" w:styleId="a8">
    <w:name w:val="List Paragraph"/>
    <w:basedOn w:val="a"/>
    <w:uiPriority w:val="34"/>
    <w:qFormat/>
    <w:rsid w:val="00177E09"/>
    <w:pPr>
      <w:ind w:leftChars="200" w:left="480"/>
    </w:pPr>
  </w:style>
  <w:style w:type="table" w:styleId="a9">
    <w:name w:val="Table Grid"/>
    <w:basedOn w:val="a1"/>
    <w:uiPriority w:val="39"/>
    <w:rsid w:val="0017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73684">
      <w:bodyDiv w:val="1"/>
      <w:marLeft w:val="0"/>
      <w:marRight w:val="0"/>
      <w:marTop w:val="6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8EE93CDA670F3F40AB5F9B3E3B2F9410" ma:contentTypeVersion="2" ma:contentTypeDescription="建立新的文件。" ma:contentTypeScope="" ma:versionID="0a402c140a763d6ca61f0c62909dec3d">
  <xsd:schema xmlns:xsd="http://www.w3.org/2001/XMLSchema" xmlns:xs="http://www.w3.org/2001/XMLSchema" xmlns:p="http://schemas.microsoft.com/office/2006/metadata/properties" xmlns:ns1="http://schemas.microsoft.com/sharepoint/v3" xmlns:ns2="2501d877-11f2-41e1-bfb7-a4a20d8e2bae" targetNamespace="http://schemas.microsoft.com/office/2006/metadata/properties" ma:root="true" ma:fieldsID="9f351b16a6fb9d5810e59cab80b3dd6e" ns1:_="" ns2:_="">
    <xsd:import namespace="http://schemas.microsoft.com/sharepoint/v3"/>
    <xsd:import namespace="2501d877-11f2-41e1-bfb7-a4a20d8e2bae"/>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排程開始日期" ma:description="[排程開始日期] 是由發佈功能建立的網站欄。此欄用來指定首次對網站訪客顯示此頁面的日期和時間。" ma:internalName="PublishingStartDate">
      <xsd:simpleType>
        <xsd:restriction base="dms:Unknown"/>
      </xsd:simpleType>
    </xsd:element>
    <xsd:element name="PublishingExpirationDate" ma:index="9" nillable="true" ma:displayName="排程結束日期" ma:description="[排程結束日期] 是由發佈功能建立的網站欄。此欄用來指定不再對網站訪客顯示此頁面的日期和時間。"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01d877-11f2-41e1-bfb7-a4a20d8e2bae" elementFormDefault="qualified">
    <xsd:import namespace="http://schemas.microsoft.com/office/2006/documentManagement/types"/>
    <xsd:import namespace="http://schemas.microsoft.com/office/infopath/2007/PartnerControls"/>
    <xsd:element name="SharedWithUsers" ma:index="10" nillable="true" ma:displayName="共用對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485D67-0DC2-47A8-A749-5A576C411086}">
  <ds:schemaRefs>
    <ds:schemaRef ds:uri="http://schemas.microsoft.com/sharepoint/v3/contenttype/forms"/>
  </ds:schemaRefs>
</ds:datastoreItem>
</file>

<file path=customXml/itemProps2.xml><?xml version="1.0" encoding="utf-8"?>
<ds:datastoreItem xmlns:ds="http://schemas.openxmlformats.org/officeDocument/2006/customXml" ds:itemID="{8818F08D-8104-4DE0-9F26-785E92AC9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01d877-11f2-41e1-bfb7-a4a20d8e2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AF88BD-26A3-4C12-8A90-B35DC79B3BC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TEST19607</dc:creator>
  <cp:keywords/>
  <dc:description/>
  <cp:lastModifiedBy>陳菀儀14169</cp:lastModifiedBy>
  <cp:revision>23</cp:revision>
  <dcterms:created xsi:type="dcterms:W3CDTF">2020-04-28T09:17:00Z</dcterms:created>
  <dcterms:modified xsi:type="dcterms:W3CDTF">2020-07-13T02:38:00Z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0x0101008EE93CDA670F3F40AB5F9B3E3B2F9410</vt:lpwstr>
  </property>
</Properties>
</file>