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E13" w:rsidRPr="00684B3A" w:rsidRDefault="00422E13" w:rsidP="00422E1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3862B0" w:rsidRPr="00422E13">
        <w:rPr>
          <w:rFonts w:ascii="Arial" w:eastAsia="標楷體" w:hAnsi="Arial" w:hint="eastAsia"/>
          <w:b/>
          <w:sz w:val="32"/>
          <w:szCs w:val="32"/>
        </w:rPr>
        <w:t>50374</w:t>
      </w:r>
      <w:r w:rsidR="003862B0" w:rsidRPr="00422E13">
        <w:rPr>
          <w:rFonts w:ascii="Arial" w:eastAsia="標楷體" w:hAnsi="Arial" w:hint="eastAsia"/>
          <w:b/>
          <w:sz w:val="32"/>
          <w:szCs w:val="32"/>
        </w:rPr>
        <w:t xml:space="preserve">　借保戶查詢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422E13" w:rsidRPr="00684B3A" w:rsidRDefault="00422E13" w:rsidP="00422E1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422E13" w:rsidRPr="00684B3A" w:rsidTr="002A6FF3">
        <w:tc>
          <w:tcPr>
            <w:tcW w:w="1976" w:type="dxa"/>
            <w:shd w:val="clear" w:color="auto" w:fill="FFFF99"/>
          </w:tcPr>
          <w:p w:rsidR="00422E13" w:rsidRPr="00684B3A" w:rsidRDefault="00422E13" w:rsidP="002A6FF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422E13" w:rsidRPr="00684B3A" w:rsidRDefault="00422E13" w:rsidP="002A6FF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8155B" w:rsidRPr="00684B3A" w:rsidTr="00AB42FD">
        <w:tc>
          <w:tcPr>
            <w:tcW w:w="1976" w:type="dxa"/>
            <w:vAlign w:val="center"/>
          </w:tcPr>
          <w:p w:rsidR="00A8155B" w:rsidRPr="00A8155B" w:rsidRDefault="00A8155B" w:rsidP="00A8155B">
            <w:pPr>
              <w:rPr>
                <w:rFonts w:ascii="Arial" w:eastAsia="標楷體" w:hAnsi="Arial"/>
              </w:rPr>
            </w:pPr>
            <w:r w:rsidRPr="00A8155B">
              <w:rPr>
                <w:rFonts w:ascii="Arial" w:eastAsia="標楷體" w:hAnsi="Arial" w:hint="eastAsia"/>
              </w:rPr>
              <w:t>T574</w:t>
            </w:r>
          </w:p>
        </w:tc>
        <w:tc>
          <w:tcPr>
            <w:tcW w:w="6300" w:type="dxa"/>
            <w:vAlign w:val="center"/>
          </w:tcPr>
          <w:p w:rsidR="00A8155B" w:rsidRPr="00A8155B" w:rsidRDefault="00A8155B" w:rsidP="00A8155B">
            <w:pPr>
              <w:rPr>
                <w:rFonts w:ascii="Arial" w:eastAsia="標楷體" w:hAnsi="Arial"/>
              </w:rPr>
            </w:pPr>
            <w:r w:rsidRPr="00A8155B">
              <w:rPr>
                <w:rFonts w:ascii="Arial" w:eastAsia="標楷體" w:hAnsi="Arial" w:hint="eastAsia"/>
              </w:rPr>
              <w:t>借保戶查詢</w:t>
            </w:r>
          </w:p>
        </w:tc>
      </w:tr>
    </w:tbl>
    <w:p w:rsidR="00422E13" w:rsidRPr="00684B3A" w:rsidRDefault="00422E13" w:rsidP="00422E1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422E13" w:rsidRPr="00684B3A" w:rsidRDefault="00422E13" w:rsidP="00422E1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A53CEB">
        <w:rPr>
          <w:rFonts w:ascii="Arial" w:eastAsia="標楷體" w:hAnsi="Arial" w:hint="eastAsia"/>
        </w:rPr>
        <w:t>本交易係提供同仁依</w:t>
      </w:r>
      <w:r w:rsidR="002D6715" w:rsidRPr="00422E13">
        <w:rPr>
          <w:rFonts w:ascii="Arial" w:eastAsia="標楷體" w:hAnsi="Arial" w:hint="eastAsia"/>
        </w:rPr>
        <w:t>統</w:t>
      </w:r>
      <w:r w:rsidR="00A53CEB">
        <w:rPr>
          <w:rFonts w:ascii="Arial" w:eastAsia="標楷體" w:hAnsi="Arial" w:hint="eastAsia"/>
        </w:rPr>
        <w:t>一</w:t>
      </w:r>
      <w:r w:rsidR="002D6715" w:rsidRPr="00422E13">
        <w:rPr>
          <w:rFonts w:ascii="Arial" w:eastAsia="標楷體" w:hAnsi="Arial" w:hint="eastAsia"/>
        </w:rPr>
        <w:t>編</w:t>
      </w:r>
      <w:r w:rsidR="00A53CEB">
        <w:rPr>
          <w:rFonts w:ascii="Arial" w:eastAsia="標楷體" w:hAnsi="Arial" w:hint="eastAsia"/>
        </w:rPr>
        <w:t>號</w:t>
      </w:r>
      <w:r w:rsidR="002D6715" w:rsidRPr="00422E13">
        <w:rPr>
          <w:rFonts w:ascii="Arial" w:eastAsia="標楷體" w:hAnsi="Arial" w:hint="eastAsia"/>
        </w:rPr>
        <w:t>查詢</w:t>
      </w:r>
      <w:r w:rsidR="00A53CEB">
        <w:rPr>
          <w:rFonts w:ascii="Arial" w:eastAsia="標楷體" w:hAnsi="Arial" w:hint="eastAsia"/>
        </w:rPr>
        <w:t>該統一編號</w:t>
      </w:r>
      <w:r w:rsidR="002D6715" w:rsidRPr="00422E13">
        <w:rPr>
          <w:rFonts w:ascii="Arial" w:eastAsia="標楷體" w:hAnsi="Arial" w:hint="eastAsia"/>
        </w:rPr>
        <w:t>於本行是否為借款人或為保證人之資訊。</w:t>
      </w:r>
    </w:p>
    <w:p w:rsidR="00422E13" w:rsidRPr="00684B3A" w:rsidRDefault="00422E13" w:rsidP="00422E1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3862B0" w:rsidRPr="00422E13" w:rsidRDefault="003862B0" w:rsidP="003862B0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　　</w:t>
      </w:r>
      <w:r w:rsidRPr="00422E13">
        <w:rPr>
          <w:rFonts w:ascii="Arial" w:eastAsia="標楷體" w:hAnsi="Arial" w:hint="eastAsia"/>
        </w:rPr>
        <w:t>授信→查詢→借保戶查詢</w:t>
      </w:r>
    </w:p>
    <w:p w:rsidR="00422E13" w:rsidRPr="003862B0" w:rsidRDefault="00422E13" w:rsidP="00422E13">
      <w:pPr>
        <w:rPr>
          <w:rFonts w:ascii="Arial" w:eastAsia="標楷體" w:hAnsi="Arial"/>
        </w:rPr>
      </w:pPr>
    </w:p>
    <w:p w:rsidR="00422E13" w:rsidRPr="00684B3A" w:rsidRDefault="00422E13" w:rsidP="00422E1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5B174F" w:rsidRPr="00422E13" w:rsidRDefault="002D6715" w:rsidP="006C2AE2">
      <w:pPr>
        <w:rPr>
          <w:rFonts w:ascii="Arial" w:eastAsia="標楷體" w:hAnsi="Arial" w:hint="eastAsia"/>
        </w:rPr>
      </w:pPr>
      <w:r>
        <w:rPr>
          <w:rFonts w:ascii="Arial" w:eastAsia="標楷體" w:hAnsi="Arial" w:hint="eastAsia"/>
        </w:rPr>
        <w:t xml:space="preserve">　　</w:t>
      </w:r>
      <w:r w:rsidR="00A53CEB">
        <w:rPr>
          <w:rFonts w:ascii="Arial" w:eastAsia="標楷體" w:hAnsi="Arial" w:hint="eastAsia"/>
        </w:rPr>
        <w:t>輸入「統一編號」</w:t>
      </w:r>
      <w:r w:rsidR="006C2AE2" w:rsidRPr="00422E13">
        <w:rPr>
          <w:rFonts w:ascii="Arial" w:eastAsia="標楷體" w:hAnsi="Arial" w:hint="eastAsia"/>
        </w:rPr>
        <w:t>查詢借戶或借戶於本行擔任保證人</w:t>
      </w:r>
      <w:r w:rsidR="006C2AE2" w:rsidRPr="00422E13">
        <w:rPr>
          <w:rFonts w:ascii="Arial" w:eastAsia="標楷體" w:hAnsi="Arial" w:hint="eastAsia"/>
        </w:rPr>
        <w:t>(</w:t>
      </w:r>
      <w:r w:rsidR="006C2AE2" w:rsidRPr="00422E13">
        <w:rPr>
          <w:rFonts w:ascii="Arial" w:eastAsia="標楷體" w:hAnsi="Arial" w:hint="eastAsia"/>
        </w:rPr>
        <w:t>或共借人</w:t>
      </w:r>
      <w:r w:rsidR="006C2AE2" w:rsidRPr="00422E13">
        <w:rPr>
          <w:rFonts w:ascii="Arial" w:eastAsia="標楷體" w:hAnsi="Arial" w:hint="eastAsia"/>
        </w:rPr>
        <w:t>)</w:t>
      </w:r>
      <w:r w:rsidR="00A53CEB">
        <w:rPr>
          <w:rFonts w:ascii="Arial" w:eastAsia="標楷體" w:hAnsi="Arial" w:hint="eastAsia"/>
        </w:rPr>
        <w:t>之</w:t>
      </w:r>
      <w:r w:rsidR="006C2AE2" w:rsidRPr="00422E13">
        <w:rPr>
          <w:rFonts w:ascii="Arial" w:eastAsia="標楷體" w:hAnsi="Arial" w:hint="eastAsia"/>
        </w:rPr>
        <w:t>批覆書資料。</w:t>
      </w:r>
    </w:p>
    <w:p w:rsidR="00195D32" w:rsidRPr="00422E13" w:rsidRDefault="00C21CC1" w:rsidP="00195D32">
      <w:pPr>
        <w:rPr>
          <w:rFonts w:ascii="Arial" w:eastAsia="標楷體" w:hAnsi="Arial"/>
          <w:b/>
        </w:rPr>
      </w:pPr>
      <w:r w:rsidRPr="00422E13">
        <w:rPr>
          <w:rFonts w:ascii="Arial" w:eastAsia="標楷體" w:hAnsi="Arial"/>
          <w:noProof/>
        </w:rPr>
        <w:drawing>
          <wp:inline distT="0" distB="0" distL="0" distR="0" wp14:anchorId="1407904F" wp14:editId="0137EEA2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F2" w:rsidRPr="00422E13" w:rsidRDefault="00B23E16" w:rsidP="006C2AE2">
      <w:pPr>
        <w:rPr>
          <w:rFonts w:ascii="Arial" w:eastAsia="標楷體" w:hAnsi="Arial"/>
        </w:rPr>
      </w:pPr>
      <w:r w:rsidRPr="00422E13">
        <w:rPr>
          <w:rFonts w:ascii="Arial" w:eastAsia="標楷體" w:hAnsi="Arial"/>
          <w:noProof/>
        </w:rPr>
        <w:lastRenderedPageBreak/>
        <w:drawing>
          <wp:inline distT="0" distB="0" distL="0" distR="0" wp14:anchorId="59CA7EB6" wp14:editId="486BFF5C">
            <wp:extent cx="5274310" cy="31502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94" w:rsidRPr="00422E13" w:rsidRDefault="00B23E16" w:rsidP="006C2AE2">
      <w:pPr>
        <w:rPr>
          <w:rFonts w:ascii="Arial" w:eastAsia="標楷體" w:hAnsi="Arial"/>
        </w:rPr>
      </w:pPr>
      <w:r w:rsidRPr="00422E13">
        <w:rPr>
          <w:rFonts w:ascii="Arial" w:eastAsia="標楷體" w:hAnsi="Arial"/>
          <w:noProof/>
        </w:rPr>
        <w:drawing>
          <wp:inline distT="0" distB="0" distL="0" distR="0" wp14:anchorId="7230394C" wp14:editId="3F130063">
            <wp:extent cx="5274310" cy="31502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07" w:rsidRPr="00422E13" w:rsidRDefault="00B23E16" w:rsidP="006C2AE2">
      <w:pPr>
        <w:rPr>
          <w:rFonts w:ascii="Arial" w:eastAsia="標楷體" w:hAnsi="Arial"/>
        </w:rPr>
      </w:pPr>
      <w:r w:rsidRPr="00422E13">
        <w:rPr>
          <w:rFonts w:ascii="Arial" w:eastAsia="標楷體" w:hAnsi="Arial" w:hint="eastAsia"/>
        </w:rPr>
        <w:t>點擊</w:t>
      </w:r>
      <w:r w:rsidR="002D6715" w:rsidRPr="00023745">
        <w:rPr>
          <w:rFonts w:ascii="Arial" w:eastAsia="標楷體" w:hAnsi="Arial" w:hint="eastAsia"/>
          <w:szCs w:val="24"/>
        </w:rPr>
        <w:t>【</w:t>
      </w:r>
      <w:r w:rsidRPr="00422E13">
        <w:rPr>
          <w:rFonts w:ascii="Arial" w:eastAsia="標楷體" w:hAnsi="Arial" w:hint="eastAsia"/>
        </w:rPr>
        <w:t>列印</w:t>
      </w:r>
      <w:r w:rsidR="002D6715" w:rsidRPr="00023745">
        <w:rPr>
          <w:rFonts w:ascii="Arial" w:eastAsia="標楷體" w:hAnsi="Arial" w:hint="eastAsia"/>
          <w:szCs w:val="24"/>
        </w:rPr>
        <w:t>】</w:t>
      </w:r>
      <w:r w:rsidR="00A53CEB">
        <w:rPr>
          <w:rFonts w:ascii="Arial" w:eastAsia="標楷體" w:hAnsi="Arial" w:hint="eastAsia"/>
          <w:szCs w:val="24"/>
        </w:rPr>
        <w:t>印錄短單</w:t>
      </w:r>
      <w:r w:rsidR="00976E07" w:rsidRPr="00422E13">
        <w:rPr>
          <w:rFonts w:ascii="Arial" w:eastAsia="標楷體" w:hAnsi="Arial" w:hint="eastAsia"/>
        </w:rPr>
        <w:t>，</w:t>
      </w:r>
      <w:r w:rsidR="00A53CEB">
        <w:rPr>
          <w:rFonts w:ascii="Arial" w:eastAsia="標楷體" w:hAnsi="Arial" w:hint="eastAsia"/>
        </w:rPr>
        <w:t>將分別列印「</w:t>
      </w:r>
      <w:r w:rsidR="00976E07" w:rsidRPr="00422E13">
        <w:rPr>
          <w:rFonts w:ascii="Arial" w:eastAsia="標楷體" w:hAnsi="Arial" w:hint="eastAsia"/>
        </w:rPr>
        <w:t>借戶</w:t>
      </w:r>
      <w:r w:rsidR="00A53CEB">
        <w:rPr>
          <w:rFonts w:ascii="Arial" w:eastAsia="標楷體" w:hAnsi="Arial" w:hint="eastAsia"/>
        </w:rPr>
        <w:t>」與「保戶」資訊。</w:t>
      </w:r>
      <w:bookmarkStart w:id="0" w:name="_GoBack"/>
      <w:bookmarkEnd w:id="0"/>
    </w:p>
    <w:p w:rsidR="002D6715" w:rsidRDefault="002D6715" w:rsidP="006C2AE2">
      <w:pPr>
        <w:rPr>
          <w:rFonts w:ascii="Arial" w:eastAsia="標楷體" w:hAnsi="Arial"/>
        </w:rPr>
      </w:pPr>
    </w:p>
    <w:p w:rsidR="002D6715" w:rsidRPr="00684B3A" w:rsidRDefault="002D6715" w:rsidP="002D6715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2D6715" w:rsidRPr="00684B3A" w:rsidRDefault="002D6715" w:rsidP="002D6715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</w:t>
      </w:r>
      <w:r w:rsidRPr="00A53CEB">
        <w:rPr>
          <w:rFonts w:ascii="Arial" w:eastAsia="標楷體" w:hAnsi="Arial" w:hint="eastAsia"/>
        </w:rPr>
        <w:t xml:space="preserve">　無。</w:t>
      </w:r>
    </w:p>
    <w:p w:rsidR="002D6715" w:rsidRPr="00422E13" w:rsidRDefault="002D6715" w:rsidP="006C2AE2">
      <w:pPr>
        <w:rPr>
          <w:rFonts w:ascii="Arial" w:eastAsia="標楷體" w:hAnsi="Arial"/>
        </w:rPr>
      </w:pPr>
    </w:p>
    <w:sectPr w:rsidR="002D6715" w:rsidRPr="00422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CA9" w:rsidRDefault="007D5CA9" w:rsidP="00441CDA">
      <w:r>
        <w:separator/>
      </w:r>
    </w:p>
  </w:endnote>
  <w:endnote w:type="continuationSeparator" w:id="0">
    <w:p w:rsidR="007D5CA9" w:rsidRDefault="007D5CA9" w:rsidP="0044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CA9" w:rsidRDefault="007D5CA9" w:rsidP="00441CDA">
      <w:r>
        <w:separator/>
      </w:r>
    </w:p>
  </w:footnote>
  <w:footnote w:type="continuationSeparator" w:id="0">
    <w:p w:rsidR="007D5CA9" w:rsidRDefault="007D5CA9" w:rsidP="00441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E2"/>
    <w:rsid w:val="0006214D"/>
    <w:rsid w:val="00195D32"/>
    <w:rsid w:val="002D6715"/>
    <w:rsid w:val="00321ECC"/>
    <w:rsid w:val="003862B0"/>
    <w:rsid w:val="00422E13"/>
    <w:rsid w:val="00441CDA"/>
    <w:rsid w:val="004F6D3D"/>
    <w:rsid w:val="005B174F"/>
    <w:rsid w:val="006C2AE2"/>
    <w:rsid w:val="007A3D94"/>
    <w:rsid w:val="007D5CA9"/>
    <w:rsid w:val="009738F2"/>
    <w:rsid w:val="00976E07"/>
    <w:rsid w:val="00A53CEB"/>
    <w:rsid w:val="00A8155B"/>
    <w:rsid w:val="00B23E16"/>
    <w:rsid w:val="00C21CC1"/>
    <w:rsid w:val="00C93328"/>
    <w:rsid w:val="00DC6FAC"/>
    <w:rsid w:val="00D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C0F036B-E0DF-4C6E-905F-845CC33D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C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1C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1C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1CDA"/>
    <w:rPr>
      <w:sz w:val="20"/>
      <w:szCs w:val="20"/>
    </w:rPr>
  </w:style>
  <w:style w:type="table" w:styleId="a7">
    <w:name w:val="Table Grid"/>
    <w:basedOn w:val="a1"/>
    <w:uiPriority w:val="39"/>
    <w:rsid w:val="00422E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76066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C0DA94-E004-43CD-BC08-4A7AAEDA6B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F7E64C2-5E4A-4557-BEBA-BACB47FC3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8F664-8625-4B11-9EE0-8E4115702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呂佳蓉91330</cp:lastModifiedBy>
  <cp:revision>15</cp:revision>
  <dcterms:created xsi:type="dcterms:W3CDTF">2020-05-06T07:27:00Z</dcterms:created>
  <dcterms:modified xsi:type="dcterms:W3CDTF">2020-07-09T07:55:00Z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