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湖南省祁阳市人民法院</w:t>
      </w:r>
    </w:p>
    <w:p>
      <w:pPr>
        <w:jc w:val="center"/>
      </w:pPr>
      <w:r>
        <w:t>刑事判决书</w:t>
      </w:r>
    </w:p>
    <w:p>
      <w:pPr>
        <w:jc w:val="right"/>
      </w:pPr>
      <w:r>
        <w:t>（2023）湘1121刑初679号</w:t>
      </w:r>
    </w:p>
    <w:p>
      <w:pPr>
        <w:jc w:val="left"/>
      </w:pPr>
      <w:r>
        <w:t>公诉机关湖南省祁阳市人民检察院。</w:t>
      </w:r>
    </w:p>
    <w:p>
      <w:pPr>
        <w:jc w:val="left"/>
      </w:pPr>
      <w:r>
        <w:t>被告人全某杰，男。因涉嫌掩饰、隐瞒犯罪所得罪，于2023年5月19日被祁阳市公安局取保候审。现在家。</w:t>
      </w:r>
    </w:p>
    <w:p>
      <w:pPr>
        <w:jc w:val="left"/>
      </w:pPr>
      <w:r>
        <w:t>湖南省祁阳市人民检察院以永祁检刑诉[2023]581号起诉书指控被告人全某杰犯掩饰、隐瞒犯罪所得罪，向本院提起公诉。本院于2023年12月14日受理后，依法适用简易程序，组成合议庭公开开庭审理了本案。祁阳市人民检察院指派检察官桂梅出庭支持公诉，被告人全某杰到庭参加了诉讼。现已审理终结。</w:t>
      </w:r>
    </w:p>
    <w:p>
      <w:pPr>
        <w:jc w:val="left"/>
      </w:pPr>
      <w:r>
        <w:t>祁阳市人民检察院指控，2023年2月中旬，被告人全某杰在衡阳市雁峰区××酒吧结识了网络跑分人员“小午”（未到案，身份未核实），同年2月22日，被告人全某杰再次前往××酒吧与“小午”会和，随后，因“小午”答应免费带其吃喝娱乐并许诺给与其转账金额3%的提成，为牟取非法利益，其明知对方可能利用其银行卡收取网络违法犯罪资金，仍按照“小午”要求，跟随对方前往酒吧附近的一家宾馆，将名下的一张中国邮政储蓄银行卡、身份证、手机及配套的密码出借给对方。待非法资金入账后，全某杰又配合刷脸，将入账资金通过其数字人民币钱包和京东金融小金卡软件逐步转出到对方指定的账户，事成之后，对方给与全某杰600元现金作为报酬。经查询公安部电信诈骗侦办平台，被告人全某杰出借的银行卡涉及诈骗案二起，涉及被诈骗资金共计10900元。其中，深圳市公安局龙岗分局立案侦查的非法利用信息网络案（廖某），被害人廖某向被告人全某杰名下的中国邮政储蓄银行卡转账6000元；苏州市公安局吴中分局立案侦查的赵某被诈骗案，被害人赵某向全某杰名下的中国邮政储蓄银行卡转账4900元。案发后，被告人全某杰主动联系被害人赵某、廖某，分别赔偿二人各1500元。</w:t>
      </w:r>
    </w:p>
    <w:p>
      <w:pPr>
        <w:jc w:val="left"/>
      </w:pPr>
      <w:r>
        <w:t>2023年5月18日，经公安机关电话通知，被告人全某杰前往祁阳市公安局肖家派出所主动投案并如实供述了自己的犯罪事实。同年5月19日，被告人全某杰退缴违法所得600元。</w:t>
      </w:r>
    </w:p>
    <w:p>
      <w:pPr>
        <w:jc w:val="left"/>
      </w:pPr>
      <w:r>
        <w:t>上述事实，公诉机关提供了相关证据予以证实。</w:t>
      </w:r>
    </w:p>
    <w:p>
      <w:pPr>
        <w:jc w:val="left"/>
      </w:pPr>
      <w:r>
        <w:t>公诉机关认为，被告人全某杰以非法营利为目的，与他人结伙，明知是犯罪所得而使用自己银行卡收款并予以转移，其行为已触犯了《中华人民共和国刑法》第三百一十二条第一款，犯罪事实清楚，证据确实、充分，应当以掩饰、隐瞒犯罪所得罪追究其刑事责任。在共同犯罪中，被告人全某杰起次要作用，系从犯，依法应当从轻或减轻处罚；被告人全某杰主动投案并如实供述了自己的罪行，系自首，依法可以从轻或减轻处罚；被告人全某杰认罪认罚，可以依法从宽处理。被告人全某杰违法所得，应予以没收。建议判处被告人全某杰拘役一个月，并处罚金人民币二千元。</w:t>
      </w:r>
    </w:p>
    <w:p>
      <w:pPr>
        <w:jc w:val="left"/>
      </w:pPr>
      <w:r>
        <w:t>被告人全某杰对指控犯罪事实、罪名及量刑建议没有异议，认罪认罚且签字具结，同意适用简易程序，在开庭审理过程中亦无异议。</w:t>
      </w:r>
    </w:p>
    <w:p>
      <w:pPr>
        <w:jc w:val="left"/>
      </w:pPr>
      <w:r>
        <w:t>经审理查明的事实、证据与公诉机关的指控一致。</w:t>
      </w:r>
    </w:p>
    <w:p>
      <w:pPr>
        <w:jc w:val="left"/>
      </w:pPr>
      <w:r>
        <w:t>上述事实，有经庭审质证、确认的：1、接报案登记表、立案决定书、到案经过、户籍证明、微信账单记录及截图、银行交易流水、被害人报案材料、湖南省非税收入一般缴款书等书证；2、被害人廖某、赵某的陈述；3、被告人全某杰的供述与辩解；4、视听资料等证据证实，足以认定。</w:t>
      </w:r>
    </w:p>
    <w:p>
      <w:pPr>
        <w:jc w:val="left"/>
      </w:pPr>
      <w:r>
        <w:t>本院认为，被告人全某杰构成掩饰、隐瞒犯罪所得罪，公诉机关的指控成立。在共同犯罪中，被告人全某杰起次要作用，系从犯，依法应当从轻或减轻处罚；被告人全某杰主动投案并如实供述了自己的罪行，系自首，依法可以从轻或减轻处罚；被告人全某杰认罪认罚，可以依法从宽处理。被告人全某杰违法所得，应予以没收。被告人全某杰主动退缴违法所得，可以酌情从轻处罚。公诉机关的量刑建议恰当，本院予以采纳。据此，依照《中华人民共和国刑法》第三百一十二条第一款、第二十五条第一款、第二十七条、第六十四条、第五十二条、第五十三条第一款、第六十七条第一款和《中华人民共和国刑事诉讼法》第十五条之规定，判决如下：</w:t>
      </w:r>
    </w:p>
    <w:p>
      <w:pPr>
        <w:jc w:val="left"/>
      </w:pPr>
      <w:r>
        <w:t>一、被告人全某杰犯掩饰、隐瞒犯罪所得罪，判处拘役一个月，并处罚金人民币二千元；</w:t>
      </w:r>
    </w:p>
    <w:p>
      <w:pPr>
        <w:jc w:val="left"/>
      </w:pPr>
      <w:r>
        <w:t>（刑期自判决执行之日起计算。判决执行以前先行羁押的，羁押一日折抵刑期一日。罚金限在本判决生效之日起十日内缴纳。）</w:t>
      </w:r>
    </w:p>
    <w:p>
      <w:pPr>
        <w:jc w:val="left"/>
      </w:pPr>
      <w:r>
        <w:t>二、追缴被告人全某杰违法所得人民币600元，没收上缴国库。（公安机关已追缴）</w:t>
      </w:r>
    </w:p>
    <w:p>
      <w:pPr>
        <w:jc w:val="left"/>
      </w:pPr>
      <w:r>
        <w:t>如不服本判决，可在接到判决书的第二日起十日内，通过本院或者直接向湖南省永州市中级人民法院提出上诉。书面上诉的，应当提交上诉状正本一份，副本五份。</w:t>
      </w:r>
    </w:p>
    <w:p>
      <w:pPr>
        <w:jc w:val="left"/>
      </w:pPr>
      <w:r>
        <w:t>审　判　长　　王晓君</w:t>
      </w:r>
    </w:p>
    <w:p>
      <w:pPr>
        <w:jc w:val="left"/>
      </w:pPr>
      <w:r>
        <w:t>人民陪审员　　曾昭华</w:t>
      </w:r>
    </w:p>
    <w:p>
      <w:pPr>
        <w:jc w:val="left"/>
      </w:pPr>
      <w:r>
        <w:t>人民陪审员　　王美荣</w:t>
      </w:r>
    </w:p>
    <w:p>
      <w:pPr>
        <w:jc w:val="left"/>
      </w:pPr>
      <w:r>
        <w:t>二〇二三年十二月二十八日</w:t>
      </w:r>
    </w:p>
    <w:p>
      <w:pPr>
        <w:jc w:val="left"/>
      </w:pPr>
      <w:r>
        <w:t>法官　助理　　吴钰婷</w:t>
      </w:r>
    </w:p>
    <w:p>
      <w:pPr>
        <w:jc w:val="left"/>
      </w:pPr>
      <w:r>
        <w:t>书　记　员　　陈　洁</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第五十二条判处罚金，应当根据犯罪情节决定罚金数额。</w:t>
      </w:r>
    </w:p>
    <w:p>
      <w:pPr>
        <w:jc w:val="left"/>
      </w:pPr>
      <w:r>
        <w:t>第五十三条罚金在判决指定的期限内一次或者分期缴纳。期满不缴纳的，强制缴纳。</w:t>
      </w:r>
    </w:p>
    <w:p>
      <w:pPr>
        <w:jc w:val="left"/>
      </w:pPr>
      <w:r>
        <w:t>对于不能全部缴纳罚金的，人民法院在任何时候发现被执行人有可以执行的财产，应当随时追缴。如果由于遭遇不能抗拒的灾祸缴纳确实有困难的，可以酌情减少或者免除。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