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湖北省枣阳市人民法院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（2023）鄂0683刑初689号</w:t>
      </w:r>
    </w:p>
    <w:p>
      <w:pPr>
        <w:jc w:val="left"/>
      </w:pPr>
      <w:r>
        <w:t>公诉机关</w:t>
      </w:r>
    </w:p>
    <w:p>
      <w:pPr>
        <w:jc w:val="left"/>
      </w:pPr>
      <w:r>
        <w:t>湖北省枣阳市人民检察院。</w:t>
      </w:r>
    </w:p>
    <w:p>
      <w:pPr>
        <w:jc w:val="left"/>
      </w:pPr>
      <w:r>
        <w:t>被告人</w:t>
      </w:r>
    </w:p>
    <w:p>
      <w:pPr>
        <w:jc w:val="left"/>
      </w:pPr>
      <w:r>
        <w:t>基本情况</w:t>
      </w:r>
    </w:p>
    <w:p>
      <w:pPr>
        <w:jc w:val="left"/>
      </w:pPr>
      <w:r>
        <w:t>被告人赵某雪，女，1993年8月23日出生于河北省石家庄市，汉族，大专文化，无业，户籍及住址为河北省石家庄市。因涉嫌犯掩饰、隐瞒犯罪所得罪，2023年9月7日被枣阳市公安X刑事拘留，同年10月12日被逮捕，现羁押于襄阳市看守所。</w:t>
      </w:r>
    </w:p>
    <w:p>
      <w:pPr>
        <w:jc w:val="left"/>
      </w:pPr>
      <w:r>
        <w:t>起诉书文号</w:t>
      </w:r>
    </w:p>
    <w:p>
      <w:pPr>
        <w:jc w:val="left"/>
      </w:pPr>
      <w:r>
        <w:t>鄂襄枣检刑诉〔2023〕604号</w:t>
      </w:r>
    </w:p>
    <w:p>
      <w:pPr>
        <w:jc w:val="left"/>
      </w:pPr>
      <w:r>
        <w:t>指控事实</w:t>
      </w:r>
    </w:p>
    <w:p>
      <w:pPr>
        <w:jc w:val="left"/>
      </w:pPr>
      <w:r>
        <w:t>2023年4月，被告人赵某雪为谋取利益，在明知是犯罪所得的情况下，将其名下的4张银行卡、8个数字人民币钱包及微信、支付宝账户提供给段某阳使用，后又按照段某阳指使代为转账、取现，共计帮助接收并转移资金14.48万元，其中帮助转移枣阳市某某实业有限公司、赵某花等被害单位及被害人被诈骗资金13.5万元，妨碍了司法机关对上游犯罪进行追究。赵某雪从中获利4100元。</w:t>
      </w:r>
    </w:p>
    <w:p>
      <w:pPr>
        <w:jc w:val="left"/>
      </w:pPr>
      <w:r>
        <w:t>2023年9月7日，被告人赵某雪向河北省石家庄市公安局井陉矿区分局刑警大队投案，并如实供述了犯罪事实。</w:t>
      </w:r>
    </w:p>
    <w:p>
      <w:pPr>
        <w:jc w:val="left"/>
      </w:pPr>
      <w:r>
        <w:t>2023年11月29日，被告人赵某雪的亲属代其退缴违法所得人民币4100元。</w:t>
      </w:r>
    </w:p>
    <w:p>
      <w:pPr>
        <w:jc w:val="left"/>
      </w:pPr>
      <w:r>
        <w:t>指控罪名</w:t>
      </w:r>
    </w:p>
    <w:p>
      <w:pPr>
        <w:jc w:val="left"/>
      </w:pPr>
      <w:r>
        <w:t>掩饰、隐瞒犯罪所得罪</w:t>
      </w:r>
    </w:p>
    <w:p>
      <w:pPr>
        <w:jc w:val="left"/>
      </w:pPr>
      <w:r>
        <w:t>量刑建议</w:t>
      </w:r>
    </w:p>
    <w:p>
      <w:pPr>
        <w:jc w:val="left"/>
      </w:pPr>
      <w:r>
        <w:t>建议判处有期徒刑一年六个月，并处罚金；若退赃，建议判处有期徒刑一年五个月，并处罚金。</w:t>
      </w:r>
    </w:p>
    <w:p>
      <w:pPr>
        <w:jc w:val="left"/>
      </w:pPr>
      <w:r>
        <w:t>被告人意见</w:t>
      </w:r>
    </w:p>
    <w:p>
      <w:pPr>
        <w:jc w:val="left"/>
      </w:pPr>
      <w:r>
        <w:t>被告人赵某雪对指控的事实、罪名及量刑建议均无异议，本人作出意思表示不委托辩护人且不需要提供法律援助，同意适用速裁程序且签字具结，在开庭审理过程中亦无异议。</w:t>
      </w:r>
    </w:p>
    <w:p>
      <w:pPr>
        <w:jc w:val="left"/>
      </w:pPr>
      <w:r>
        <w:t>判决理由</w:t>
      </w:r>
    </w:p>
    <w:p>
      <w:pPr>
        <w:jc w:val="left"/>
      </w:pPr>
      <w:r>
        <w:t>公诉机关指控被告人赵某雪犯掩饰、隐瞒犯罪所得罪罪名成立，公诉机关对被告人的量刑建议适当，应予采纳。被告人在共同犯罪过程中起次要作用，系从犯，应对其减轻处罚；被告人具有自首情节，其归案后自愿认罪认罚，依法可对其从轻处罚；案发后其退缴了全部违法所得，可酌情对其从轻处罚。</w:t>
      </w:r>
    </w:p>
    <w:p>
      <w:pPr>
        <w:jc w:val="left"/>
      </w:pPr>
      <w:r>
        <w:t>法律依据</w:t>
      </w:r>
    </w:p>
    <w:p>
      <w:pPr>
        <w:jc w:val="left"/>
      </w:pPr>
      <w:r>
        <w:t>《中华人民共和国刑法》第三百一十二条第一款、第二十五条第一款、第二十七条、第六十四条、第六十七条第一款和《中华人民共和国刑事诉讼法》第十五条、第二百零一条第一款、第二百二十二条规定。</w:t>
      </w:r>
    </w:p>
    <w:p>
      <w:pPr>
        <w:jc w:val="left"/>
      </w:pPr>
      <w:r>
        <w:t>判决结果</w:t>
      </w:r>
    </w:p>
    <w:p>
      <w:pPr>
        <w:jc w:val="left"/>
      </w:pPr>
      <w:r>
        <w:t>一、被告人赵某雪犯掩饰、隐瞒犯罪所得罪，判处有期徒刑一年五个月，并处罚金人民币三千元。</w:t>
      </w:r>
    </w:p>
    <w:p>
      <w:pPr>
        <w:jc w:val="left"/>
      </w:pPr>
      <w:r>
        <w:t>（刑期从判决执行之日起计算。判决执行之前先行羁押的，羁押一日折抵刑期一日，即自2023年9月7日起至2025年2月6日止。罚金限判决生效后十日内缴纳。）</w:t>
      </w:r>
    </w:p>
    <w:p>
      <w:pPr>
        <w:jc w:val="left"/>
      </w:pPr>
      <w:r>
        <w:t>二、被告人赵某雪退缴的违法所得人民币4100元予以没收，上缴国库。</w:t>
      </w:r>
    </w:p>
    <w:p>
      <w:pPr>
        <w:jc w:val="left"/>
      </w:pPr>
      <w:r>
        <w:t>权利告知</w:t>
      </w:r>
    </w:p>
    <w:p>
      <w:pPr>
        <w:jc w:val="left"/>
      </w:pPr>
      <w:r>
        <w:t>如不服本判决，可在接到判决书的第二日起十日内，通过本院或者直接向湖北省襄阳市中级人民法院提出上诉，书面上诉的，应当提交上诉状正本一份、副本二份。</w:t>
      </w:r>
    </w:p>
    <w:p>
      <w:pPr>
        <w:jc w:val="left"/>
      </w:pPr>
      <w:r>
        <w:t>审判员　　张桂菊</w:t>
      </w:r>
    </w:p>
    <w:p>
      <w:pPr>
        <w:jc w:val="left"/>
      </w:pPr>
      <w:r>
        <w:t>二〇二三年十二月一日</w:t>
      </w:r>
    </w:p>
    <w:p>
      <w:pPr>
        <w:jc w:val="left"/>
      </w:pPr>
      <w:r>
        <w:t>书记员　　刘　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