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怀化铁路运输法院</w:t>
      </w:r>
    </w:p>
    <w:p>
      <w:pPr>
        <w:jc w:val="center"/>
      </w:pPr>
      <w:r>
        <w:t>刑事判决书</w:t>
      </w:r>
    </w:p>
    <w:p>
      <w:pPr>
        <w:jc w:val="right"/>
      </w:pPr>
      <w:r>
        <w:t>（2025）湘8603刑初21号</w:t>
      </w:r>
    </w:p>
    <w:p>
      <w:pPr>
        <w:jc w:val="left"/>
      </w:pPr>
      <w:r>
        <w:t>公诉机关怀化铁路运输检察院。</w:t>
      </w:r>
    </w:p>
    <w:p>
      <w:pPr>
        <w:jc w:val="left"/>
      </w:pPr>
      <w:r>
        <w:t>被告人张光和，男，1987年8月22日出生于广西壮族自治区宾阳县，汉族，初中文化，个体工商户，住宾阳县。因涉嫌犯帮助信息网络犯罪活动罪于2024年3月14日被取保候审。</w:t>
      </w:r>
    </w:p>
    <w:p>
      <w:pPr>
        <w:jc w:val="left"/>
      </w:pPr>
      <w:r>
        <w:t>指定辩护人周晶，湖南宏峰律师事务所律师。</w:t>
      </w:r>
    </w:p>
    <w:p>
      <w:pPr>
        <w:jc w:val="left"/>
      </w:pPr>
      <w:r>
        <w:t>怀化铁路运输检察院以怀铁检刑诉（2025）17号起诉书指控被告人张光和犯帮助信息网络犯罪活动罪，于2025年3月13日向本院提起公诉。本院于2025年3月17日立案，并依法适用简易程序，实行独任审判，公开开庭审理了本案。怀化铁路运输检察院检察员伍春生、被告人张光和及其辩护人周晶到庭参加诉讼。现已审理终结。</w:t>
      </w:r>
    </w:p>
    <w:p>
      <w:pPr>
        <w:jc w:val="left"/>
      </w:pPr>
      <w:r>
        <w:t>怀化铁路运输检察院指控，2024年1月至3月，被告人张光和为获取非法利益，明知“博盈”平台专门通过ＵＳＴＤ币（以下简称“Ｕ币”）交易，为信息网络违法犯罪资金的流转提供支付结算帮助，仍使用自己的ＱＱ邮箱在“博盈”平台注册账号（3********@ｑｑ.ｃｏｍ），并先后绑定17个数字人民币钱包用于收款。被告人张光和从他人处购买Ｕ币，再在“博盈”平台上转售，赚取差价获利。被告人张光和绑定的17个数字人民币钱包流入不明资金共计人民币1017481.41元，其中查明有诈骗案被害人刘某被骗资金1800元、龙某被骗资金4000元、邢燕青被骗资金1999元、祝智鹏被骗资金2000元，张光和从中获利5000元。</w:t>
      </w:r>
    </w:p>
    <w:p>
      <w:pPr>
        <w:jc w:val="left"/>
      </w:pPr>
      <w:r>
        <w:t>2024年2月至3月，被告人张光和帮助张光阳（另案处理）在“博盈”平台注册账号、开通绑定6个数字人民币钱包并代购Ｕ币，张光阳转售Ｕ币获利。张光阳使用的6个数字人民币钱包流入不明资金共计人民币400147元，其中查明有诈骗案被害人胡某、廖某等人被骗资金7998.99元，张光阳从中获利2000元。</w:t>
      </w:r>
    </w:p>
    <w:p>
      <w:pPr>
        <w:jc w:val="left"/>
      </w:pPr>
      <w:r>
        <w:t>2024年3月13日，被告人张光和被公安机关抓获，如实供述了主要犯罪事实。</w:t>
      </w:r>
    </w:p>
    <w:p>
      <w:pPr>
        <w:jc w:val="left"/>
      </w:pPr>
      <w:r>
        <w:t>检察机关认为，被告人张光和为谋取非法利益，明知他人利用信息网络实施犯罪，仍提供支付结算帮助，情节严重，其行为已触犯《中华人民共和国刑法》第二百八十七条之二第一款，应当以帮助信息网络犯罪活动罪追究其刑事责任。被告人张光和能如实供述自己的主要犯罪事实，可以从轻处罚。被告人张光和的违法所得，应当予以追缴。被告人张光和自愿认罪认罚，可以依法从宽处理。建议判处被告人张光和拘役4个月，适用缓刑，并处罚金5000元。</w:t>
      </w:r>
    </w:p>
    <w:p>
      <w:pPr>
        <w:jc w:val="left"/>
      </w:pPr>
      <w:r>
        <w:t>上述事实，被告人张光和在开庭审理过程中亦无异议，并有诈骗案被害人刘某、龙某、胡某等人的陈述，公安机关的立案登记表、立案决定书、提取笔录、归案情况说明、扣押决定书、扣押笔录及清单，诈骗案被害人刘某、龙某、胡某等人的银行账户交易信息，被告人张光和及张光阳在“博盈”平台的交易账号、交易订单及账号名下绑定的数字人民币钱包主体信息、交易明细，被告人张光和的户籍信息等证据证实，足以认定。</w:t>
      </w:r>
    </w:p>
    <w:p>
      <w:pPr>
        <w:jc w:val="left"/>
      </w:pPr>
      <w:r>
        <w:t>本院认为，被告人张光和明知他人利用信息网络实施犯罪，仍为其提供、帮助他人提供支付结算帮助，情节严重，其行为已构成帮助信息网络犯罪活动罪。被告人张光和能如实供述自己的罪行，认罪认罚，依法从轻处罚。被告人张光和的违法所得，依法予以追缴。被告人张光和犯罪情节较轻，有悔罪表现，没有再犯罪的危险，且是初犯，可依法适用缓刑。公诉机关量刑建议适当，予以采纳。依照《中华人民共和国刑法》第二百八十七条之二第一款、第二十五条第一款、第六十七条第三款、第七十二条第一、三款、第七十三条第一、三款、第五十三条第一款、第六十四条的规定，判决如下：</w:t>
      </w:r>
    </w:p>
    <w:p>
      <w:pPr>
        <w:jc w:val="left"/>
      </w:pPr>
      <w:r>
        <w:t>一、被告人张光和犯帮助信息网络犯罪活动罪，判处拘役四个月，缓刑六个月，并处罚金人民币五千元，上缴国库。</w:t>
      </w:r>
    </w:p>
    <w:p>
      <w:pPr>
        <w:jc w:val="left"/>
      </w:pPr>
      <w:r>
        <w:t>（缓刑考验期限，从判决确定之日起计算。罚金限判决发生法律效力第二日起十五日内缴清。）</w:t>
      </w:r>
    </w:p>
    <w:p>
      <w:pPr>
        <w:jc w:val="left"/>
      </w:pPr>
      <w:r>
        <w:t>二、追缴被告人张光和违法所得人民币5000元，上缴国库。</w:t>
      </w:r>
    </w:p>
    <w:p>
      <w:pPr>
        <w:jc w:val="left"/>
      </w:pPr>
      <w:r>
        <w:t>三、随案扣押的被告人张光和人民币2万元，其中9799元属诈骗案被害人财物，由公安机关发还刘某1800元、龙某4000元、邢某1999元、祝某2000元，其余10201元属被告人张光和供犯罪所用的本人财物，予以没收，由公安机关上缴国库。</w:t>
      </w:r>
    </w:p>
    <w:p>
      <w:pPr>
        <w:jc w:val="left"/>
      </w:pPr>
      <w:r>
        <w:t>如不服本判决，可在接到判决书的第二日起十日内，通过本院或者直接向广州铁路运输中级法院提出上诉。书面上诉的，应当提交上诉状正本一份，副本二份。</w:t>
      </w:r>
    </w:p>
    <w:p>
      <w:pPr>
        <w:jc w:val="left"/>
      </w:pPr>
      <w:r>
        <w:t>审判员　　田　明</w:t>
      </w:r>
    </w:p>
    <w:p>
      <w:pPr>
        <w:jc w:val="left"/>
      </w:pPr>
      <w:r>
        <w:t>二〇二五年四月一日</w:t>
      </w:r>
    </w:p>
    <w:p>
      <w:pPr>
        <w:jc w:val="left"/>
      </w:pPr>
      <w:r>
        <w:t>法官助理　　杨夏媚</w:t>
      </w:r>
    </w:p>
    <w:p>
      <w:pPr>
        <w:jc w:val="left"/>
      </w:pPr>
      <w:r>
        <w:t>书记员　　杨小华</w:t>
      </w:r>
    </w:p>
    <w:p>
      <w:pPr>
        <w:jc w:val="left"/>
      </w:pPr>
      <w:r>
        <w:t>附页本案适用的法律依据</w:t>
      </w:r>
    </w:p>
    <w:p>
      <w:pPr>
        <w:jc w:val="left"/>
      </w:pPr>
      <w:r>
        <w:t>《中华人民共和国刑法》条文：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单位犯前款罪的，对单位判处罚金，并对其直接负责的主管人员和其他直接责任人员，依照第一款的规定处罚。</w:t>
      </w:r>
    </w:p>
    <w:p>
      <w:pPr>
        <w:jc w:val="left"/>
      </w:pPr>
      <w:r>
        <w:t>有前两款行为，同时构成其他犯罪的，依照处罚较重的规定定罪处罚。</w:t>
      </w:r>
    </w:p>
    <w:p>
      <w:pPr>
        <w:jc w:val="left"/>
      </w:pPr>
      <w:r>
        <w:t>第二十五条第一款共同犯罪是指二人以上共同故意犯罪。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（一）犯罪情节较轻；（二）有悔罪表现；（三）没有再犯罪的危险；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