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天津市红桥区人民法院</w:t>
      </w:r>
    </w:p>
    <w:p>
      <w:pPr>
        <w:jc w:val="center"/>
      </w:pPr>
      <w:r>
        <w:t>刑 事 判 决 书</w:t>
      </w:r>
    </w:p>
    <w:p>
      <w:pPr>
        <w:jc w:val="right"/>
      </w:pPr>
      <w:r>
        <w:t>（2022）津0106刑初204号</w:t>
      </w:r>
    </w:p>
    <w:p>
      <w:pPr>
        <w:jc w:val="left"/>
      </w:pPr>
      <w:r>
        <w:t>公诉机关天津市红桥区人民检察院。</w:t>
      </w:r>
    </w:p>
    <w:p>
      <w:pPr>
        <w:jc w:val="left"/>
      </w:pPr>
      <w:r>
        <w:t>被告人廖金玉，男，1996年12月3日出生于广西壮族自治区武宣县，壮族，中专文化，广西壮族自治区武宣县×××汽车城员工，户籍地广西壮族自治区武宣县，住所地广西壮族自治区来宾市武宣县。因涉嫌犯帮助信息网络犯罪活动罪，于2021年11月23日被天津市公安红桥分局取保候审，2022年5月11日被天津市红桥区人民检察院取保候审。</w:t>
      </w:r>
    </w:p>
    <w:p>
      <w:pPr>
        <w:jc w:val="left"/>
      </w:pPr>
      <w:r>
        <w:t>天津市红桥区人民检察院以津红检刑诉〔2022〕156号起诉书指控被告人廖金玉犯帮助信息网络犯罪活动罪，于2022年7月28日向本院提起公诉。被告人廖金玉在值班律师见证下签署认罪认罚具结书，认可检察机关的量刑建议，同意适用简易程序。本院于2022年8月15日依法公开开庭审理了本案，天津市红桥区人民检察院指派检察官刘慧珍出庭支持公诉，被告人廖金玉到庭参加诉讼，现已审理终结。</w:t>
      </w:r>
    </w:p>
    <w:p>
      <w:pPr>
        <w:jc w:val="left"/>
      </w:pPr>
      <w:r>
        <w:t>天津市红桥区人民检察院指控，2021年11月8日，被告人廖金玉明知他人利用信息网络实施犯罪，仍提供其本人名下中国工商银行卡、支付宝账户、数字人民币账户及手机给他人使用，并获利1080元，后工商银行卡被用于电信网络诈骗的支付结算，共接收被害人黄某某、孙某某等12人被骗部分钱款共计人民币422812.71元，流水共计64万余元。2021年12月23日被告人廖金玉归案。</w:t>
      </w:r>
    </w:p>
    <w:p>
      <w:pPr>
        <w:jc w:val="left"/>
      </w:pPr>
      <w:r>
        <w:t>公诉机关认为，被告人廖金玉明知他人利用信息网络实施犯罪，为其犯罪提供支付结算帮助，情节严重，其行为触犯了《中华人民共和国刑法》第二百八十七条之二的规定，应当以帮助信息网络犯罪活动罪追究其刑事责任，建议判处廖金玉有期徒刑七个月，并处罚金，若能退缴违法所得，可适用缓刑。公诉机关提交了案件来源、涉案银行卡交易明细、蝙蝠聊天记录等书证，证人黄某某、孙某某等的证言，被告人廖金玉的供述和辩解，搜查及扣押笔录，手机电子数据等证据证明指控事实。</w:t>
      </w:r>
    </w:p>
    <w:p>
      <w:pPr>
        <w:jc w:val="left"/>
      </w:pPr>
      <w:r>
        <w:t>被告人廖金玉对指控事实、罪名及量刑建议没有异议，同意适用简易程序且签字具结，在开庭审理过程中亦无异议。</w:t>
      </w:r>
    </w:p>
    <w:p>
      <w:pPr>
        <w:jc w:val="left"/>
      </w:pPr>
      <w:r>
        <w:t>经审理查明的事实、证据与公诉机关的指控一致。另查明,公安扣押在案黑色苹果牌iPhone7Plus128G手机一部及中国工商银行卡一张；案件审理期间，被告人廖金玉退缴违法所得人民币一千零八十元。</w:t>
      </w:r>
    </w:p>
    <w:p>
      <w:pPr>
        <w:jc w:val="left"/>
      </w:pPr>
      <w:r>
        <w:t>本院认为，被告人廖金玉明知他人利用信息网络实施犯罪，为其犯罪提供支付结算帮助，情节严重，构成帮助信息网络犯罪活动罪，公诉机关指控的事实和罪名成立，本院予以确认。廖金玉到案后能够如实供述其犯罪事实，系坦白，且自愿认罪认罚，退缴违法所得，依法可以从轻处罚。综合廖金玉的犯罪情节、悔罪表现，公诉机关的量刑建议适当，本院予以采纳。综上，依照《中华人民共和国刑法》第二百八十七条之二第一款，第六十七条第三款，第七十二条第一款、第三款，第六十四条,第七十六条，《中华人民共和国刑事诉讼法》第十五条，第二百零一条第一款及《最高人民法院、最高人民检察院关于办理非法利用信息网络、帮助信息网络犯罪活动等刑事案件适用法律若干问题的解释》第十二条第一款之规定，判决如下：</w:t>
      </w:r>
    </w:p>
    <w:p>
      <w:pPr>
        <w:jc w:val="left"/>
      </w:pPr>
      <w:r>
        <w:t>一、被告人廖金玉犯帮助信息网络犯罪活动罪，判处有期徒刑七个月，缓刑一年，并处罚金人民币二千元。在缓刑考验期限内，依法实行社区矫正；</w:t>
      </w:r>
    </w:p>
    <w:p>
      <w:pPr>
        <w:jc w:val="left"/>
      </w:pPr>
      <w:r>
        <w:t>（缓刑考验期限，从判决确定之日起计算。所判罚金应于判决生效后十日内缴纳）</w:t>
      </w:r>
    </w:p>
    <w:p>
      <w:pPr>
        <w:jc w:val="left"/>
      </w:pPr>
      <w:r>
        <w:t>二、退缴在案被告人廖金玉违法所得人民币一千零八十元，依法予以没收；</w:t>
      </w:r>
    </w:p>
    <w:p>
      <w:pPr>
        <w:jc w:val="left"/>
      </w:pPr>
      <w:r>
        <w:t>三、案获作案工具手机一部及银行卡一张，依法予以没收。</w:t>
      </w:r>
    </w:p>
    <w:p>
      <w:pPr>
        <w:jc w:val="left"/>
      </w:pPr>
      <w:r>
        <w:t>如不服本判决，可在接到判决书的第二日起十日内，通过本院或者直接向天津市第一中级人民法院提出上诉。书面上诉的，应当提交上诉状正本一份，副本二份。</w:t>
      </w:r>
    </w:p>
    <w:p>
      <w:pPr>
        <w:jc w:val="left"/>
      </w:pPr>
      <w:r>
        <w:t>审 判 员　曹晨光</w:t>
      </w:r>
    </w:p>
    <w:p>
      <w:pPr>
        <w:jc w:val="left"/>
      </w:pPr>
      <w:r>
        <w:t>二〇二二年八月十五日</w:t>
      </w:r>
    </w:p>
    <w:p>
      <w:pPr>
        <w:jc w:val="left"/>
      </w:pPr>
      <w:r>
        <w:t>法官助理　孟鑫鹏</w:t>
      </w:r>
    </w:p>
    <w:p>
      <w:pPr>
        <w:jc w:val="left"/>
      </w:pPr>
      <w:r>
        <w:t>书 记 员　罗　智</w:t>
      </w:r>
    </w:p>
    <w:p>
      <w:pPr>
        <w:jc w:val="left"/>
      </w:pPr>
      <w:r>
        <w:t>附：本裁判文书所依据法律规定的具体条文</w:t>
      </w:r>
    </w:p>
    <w:p>
      <w:pPr>
        <w:jc w:val="left"/>
      </w:pPr>
      <w:r>
        <w:t>1.《中华人民共和国刑法》第二百八十七条之二：</w:t>
      </w:r>
    </w:p>
    <w:p>
      <w:pPr>
        <w:jc w:val="left"/>
      </w:pPr>
      <w:r>
        <w:t>明知他人利用信息网络实施犯罪，为其犯罪提供互联网接入、服务器托管、网络存储、通讯传输等技术支持，或者提供广告推广、支付结算等帮助，情节严重的，处三年以下有期徒刑或者拘役，并处或者单处罚金。</w:t>
      </w:r>
    </w:p>
    <w:p>
      <w:pPr>
        <w:jc w:val="left"/>
      </w:pPr>
      <w:r>
        <w:t>单位犯前款罪的，对单位判处罚金，并对其直接负责的主管人员和其他直接责任人员，依照第一款的规定处罚。</w:t>
      </w:r>
    </w:p>
    <w:p>
      <w:pPr>
        <w:jc w:val="left"/>
      </w:pPr>
      <w:r>
        <w:t>有前两款行为，同时构成其他犯罪的，依照处罚较重的规定定罪处罚。</w:t>
      </w:r>
    </w:p>
    <w:p>
      <w:pPr>
        <w:jc w:val="left"/>
      </w:pPr>
      <w:r>
        <w:t>2.《中华人民共和国刑法》第六十七条：</w:t>
      </w:r>
    </w:p>
    <w:p>
      <w:pPr>
        <w:jc w:val="left"/>
      </w:pPr>
      <w:r>
        <w:t>犯罪以后自动投案，如实供述自己的罪行的，是自首。对于自首的犯罪分子，可以从轻或者减轻处罚。其中，犯罪较轻的，可以免除处罚。</w:t>
      </w:r>
    </w:p>
    <w:p>
      <w:pPr>
        <w:jc w:val="left"/>
      </w:pPr>
      <w:r>
        <w:t>被采取强制措施的犯罪嫌疑人、被告人和正在服刑的罪犯，如实供述司法机关还未掌握的本人其他罪行的，以自首论。</w:t>
      </w:r>
    </w:p>
    <w:p>
      <w:pPr>
        <w:jc w:val="left"/>
      </w:pPr>
      <w:r>
        <w:t>犯罪嫌疑人虽不具有前两款规定的自首情节，但是如实供述自己罪行的，可以从轻处罚；因其如实供述自己罪行，避免特别严重后果发生的，可以减轻处罚。</w:t>
      </w:r>
    </w:p>
    <w:p>
      <w:pPr>
        <w:jc w:val="left"/>
      </w:pPr>
      <w:r>
        <w:t>3.《中华人民共和国刑法》第七十二条：</w:t>
      </w:r>
    </w:p>
    <w:p>
      <w:pPr>
        <w:jc w:val="left"/>
      </w:pPr>
      <w:r>
        <w:t>对于被判处拘役、三年以下有期徒刑的犯罪分子，同时符合下列条件的，可以宣告缓刑，对其中不满十八周岁的人、怀孕的妇女和已满七十五周岁的人，应当宣告缓刑：</w:t>
      </w:r>
    </w:p>
    <w:p>
      <w:pPr>
        <w:jc w:val="left"/>
      </w:pPr>
      <w:r>
        <w:t>（一）犯罪情节较轻；</w:t>
      </w:r>
    </w:p>
    <w:p>
      <w:pPr>
        <w:jc w:val="left"/>
      </w:pPr>
      <w:r>
        <w:t>（二）有悔罪表现；</w:t>
      </w:r>
    </w:p>
    <w:p>
      <w:pPr>
        <w:jc w:val="left"/>
      </w:pPr>
      <w:r>
        <w:t>（三）没有再犯罪的危险；</w:t>
      </w:r>
    </w:p>
    <w:p>
      <w:pPr>
        <w:jc w:val="left"/>
      </w:pPr>
      <w:r>
        <w:t>（四）宣告缓刑对所居住社区没有重大不良影响。</w:t>
      </w:r>
    </w:p>
    <w:p>
      <w:pPr>
        <w:jc w:val="left"/>
      </w:pPr>
      <w:r>
        <w:t>宣告缓刑，可以根据犯罪情况，同时禁止犯罪分子在缓刑考验期限内从事特定活动，进入特定区域、场所，接触特定的人。</w:t>
      </w:r>
    </w:p>
    <w:p>
      <w:pPr>
        <w:jc w:val="left"/>
      </w:pPr>
      <w:r>
        <w:t>被宣告缓刑的犯罪分子，如果被判处附加刑，附加刑仍须执行。</w:t>
      </w:r>
    </w:p>
    <w:p>
      <w:pPr>
        <w:jc w:val="left"/>
      </w:pPr>
      <w:r>
        <w:t>4.《中华人民共和国刑法》第六十四条：</w:t>
      </w:r>
    </w:p>
    <w:p>
      <w:pPr>
        <w:jc w:val="left"/>
      </w:pPr>
      <w:r>
        <w:t>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p>
      <w:pPr>
        <w:jc w:val="left"/>
      </w:pPr>
      <w:r>
        <w:t>5.《中华人民共和国刑法》第七十六条：</w:t>
      </w:r>
    </w:p>
    <w:p>
      <w:pPr>
        <w:jc w:val="left"/>
      </w:pPr>
      <w:r>
        <w:t>对宣告缓刑的犯罪分子，在缓刑考验期限内，依法实行社区矫正，如果没有本法第七十七条规定的情形，缓刑考验期满，原判的刑罚就不再执行，并公开予以宣告。</w:t>
      </w:r>
    </w:p>
    <w:p>
      <w:pPr>
        <w:jc w:val="left"/>
      </w:pPr>
      <w:r>
        <w:t>6.《中华人民共和国刑事诉讼法》第十五条：</w:t>
      </w:r>
    </w:p>
    <w:p>
      <w:pPr>
        <w:jc w:val="left"/>
      </w:pPr>
      <w:r>
        <w:t>犯罪嫌疑人、被告人自愿如实供述自己的罪行，承认指控的犯罪事实，愿意接受处罚的，可以依法从宽处理。</w:t>
      </w:r>
    </w:p>
    <w:p>
      <w:pPr>
        <w:jc w:val="left"/>
      </w:pPr>
      <w:r>
        <w:t>7.《中华人民共和国刑事诉讼法》第二百零一条：</w:t>
      </w:r>
    </w:p>
    <w:p>
      <w:pPr>
        <w:jc w:val="left"/>
      </w:pPr>
      <w:r>
        <w:t>对于认罪认罚案件，人民法院依法作出判决时，一般应当采纳人民检察院指控的罪名和量刑建议，但有下列情形的除外：</w:t>
      </w:r>
    </w:p>
    <w:p>
      <w:pPr>
        <w:jc w:val="left"/>
      </w:pPr>
      <w:r>
        <w:t>（一）被告人的行为不构成犯罪或者不应当追究其刑事责任的；</w:t>
      </w:r>
    </w:p>
    <w:p>
      <w:pPr>
        <w:jc w:val="left"/>
      </w:pPr>
      <w:r>
        <w:t>（二）被告人违背意愿认罪认罚的；</w:t>
      </w:r>
    </w:p>
    <w:p>
      <w:pPr>
        <w:jc w:val="left"/>
      </w:pPr>
      <w:r>
        <w:t>（三）被告人否认指控的犯罪事实的；</w:t>
      </w:r>
    </w:p>
    <w:p>
      <w:pPr>
        <w:jc w:val="left"/>
      </w:pPr>
      <w:r>
        <w:t>（四）起诉指控的罪名与审理认定的罪名不一致的；</w:t>
      </w:r>
    </w:p>
    <w:p>
      <w:pPr>
        <w:jc w:val="left"/>
      </w:pPr>
      <w:r>
        <w:t>（五）其他可能影响公正审判的情形。</w:t>
      </w:r>
    </w:p>
    <w:p>
      <w:pPr>
        <w:jc w:val="left"/>
      </w:pPr>
      <w:r>
        <w:t>人民法院经审理认为量刑建议明显不当，或者被告人、辩护人对量刑建议提出异议的，人民检察院可以调整量刑建议。人民检察院不调整量刑建议或者调整量刑建议后仍然明显不当的，人民法院应当依法作出判决。</w:t>
      </w:r>
    </w:p>
    <w:p>
      <w:pPr>
        <w:jc w:val="left"/>
      </w:pPr>
      <w:r>
        <w:t>8.《最高人民法院、最高人民检察院关于办理非法利用信息网络、帮助信息网络犯罪活动等刑事案件适用法律若干问题的解释》第十二条：</w:t>
      </w:r>
    </w:p>
    <w:p>
      <w:pPr>
        <w:jc w:val="left"/>
      </w:pPr>
      <w:r>
        <w:t>明知他人利用信息网络实施犯罪，为其犯罪提供帮助，具有下列情形之一的，应当认定为刑法第二百八十七条之二第一款规定的“情节严重”：</w:t>
      </w:r>
    </w:p>
    <w:p>
      <w:pPr>
        <w:jc w:val="left"/>
      </w:pPr>
      <w:r>
        <w:t>（一）为三个以上对象提供帮助的；</w:t>
      </w:r>
    </w:p>
    <w:p>
      <w:pPr>
        <w:jc w:val="left"/>
      </w:pPr>
      <w:r>
        <w:t>（二）支付结算金额二十万元以上的；</w:t>
      </w:r>
    </w:p>
    <w:p>
      <w:pPr>
        <w:jc w:val="left"/>
      </w:pPr>
      <w:r>
        <w:t>（三）以投放广告等方式提供资金五万元以上的；</w:t>
      </w:r>
    </w:p>
    <w:p>
      <w:pPr>
        <w:jc w:val="left"/>
      </w:pPr>
      <w:r>
        <w:t>（四）违法所得一万元以上的；</w:t>
      </w:r>
    </w:p>
    <w:p>
      <w:pPr>
        <w:jc w:val="left"/>
      </w:pPr>
      <w:r>
        <w:t>（五）二年内曾因非法利用信息网络、帮助信息网络犯罪活动、危害计算机信息系统安全受过行政处罚，又帮助信息网络犯罪活动的；</w:t>
      </w:r>
    </w:p>
    <w:p>
      <w:pPr>
        <w:jc w:val="left"/>
      </w:pPr>
      <w:r>
        <w:t>（六）被帮助对象实施的犯罪造成严重后果的；</w:t>
      </w:r>
    </w:p>
    <w:p>
      <w:pPr>
        <w:jc w:val="left"/>
      </w:pPr>
      <w:r>
        <w:t>（七）其他情节严重的情形。</w:t>
      </w:r>
    </w:p>
    <w:p>
      <w:pPr>
        <w:jc w:val="left"/>
      </w:pPr>
      <w:r>
        <w:t>实施前款规定的行为，确因客观条件限制无法查证被帮助对象是否达到犯罪的程度，但相关数额总计达到前款第二项至第四项规定标准五倍以上，或者造成特别严重后果的，应当以帮助信息网络犯罪活动罪追究行为人的刑事责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