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湖南省攸县人民法院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（2022）湘0223刑初406号</w:t>
      </w:r>
    </w:p>
    <w:p>
      <w:pPr>
        <w:jc w:val="left"/>
      </w:pPr>
      <w:r>
        <w:t>公诉机关湖南省攸县人民检察院。</w:t>
      </w:r>
    </w:p>
    <w:p>
      <w:pPr>
        <w:jc w:val="left"/>
      </w:pPr>
      <w:r>
        <w:t>被告人龙燕庭，男，2001年6月2日出生，湖南省攸县人，初中文化，务工，户籍所在地湖南省攸县，因涉嫌掩饰、隐瞒犯罪所得罪，于2022年10月20日被取保候审。</w:t>
      </w:r>
    </w:p>
    <w:p>
      <w:pPr>
        <w:jc w:val="left"/>
      </w:pPr>
      <w:r>
        <w:t>湖南省攸县人民检察院以株攸检刑诉[2022]367号起诉书指控被告人龙燕庭犯掩饰、隐瞒犯罪所得罪，于2022年12月19日向本院提起公诉。本院依法适用简易程序，组成合议庭，公开开庭审理了本案。湖南省攸县人民检察院指派检察员文贵其出庭支持公诉。被告人龙燕庭到庭参加诉讼，本案现已审理终结。</w:t>
      </w:r>
    </w:p>
    <w:p>
      <w:pPr>
        <w:jc w:val="left"/>
      </w:pPr>
      <w:r>
        <w:t>湖南省攸县人民检察院指控，2022年上半年，被告人龙燕庭在长沙市猴子酒吧工作时认识了一杨姓客户（暂未查实身份），5月16日，该客户向龙燕庭提出要其提供银行卡过账，龙燕庭明知该客户使用银行卡可能用于网络犯罪活动，仍然予以答应。当日晚上，杨姓客户将龙燕庭带至一茶楼，茶楼还有杨姓客户的同伙（暂未查实身份），龙燕庭将手机交给该团伙，该团伙使用手机下载了“数字人民币”APP，该APP注册需要实名认证、手机验证码、银行卡号，绑定了龙燕庭尾号4249长沙银行卡，然后刷脸认证，即可使用。龙燕庭的长沙银行卡收到非法资金后，团伙使用“数字人民币”APP流转至其他指定的账户，期间龙燕庭提供20余次刷脸服务，配合该团伙转账。</w:t>
      </w:r>
    </w:p>
    <w:p>
      <w:pPr>
        <w:jc w:val="left"/>
      </w:pPr>
      <w:r>
        <w:t>经查明，龙燕庭的长沙银行卡涉嫌电信网络犯罪活动，支付结算金额共计49490元，其中潘某被网络诈骗资金12000.1元、张某被网络诈骗资金17490元直接流入该卡。卡内最后预留了2083.45元作为给龙燕庭的报酬，因银行卡被冻结，无法取出。</w:t>
      </w:r>
    </w:p>
    <w:p>
      <w:pPr>
        <w:jc w:val="left"/>
      </w:pPr>
      <w:r>
        <w:t>10月20日，龙燕庭向攸县**局自动投案，如实交代了上述事实。</w:t>
      </w:r>
    </w:p>
    <w:p>
      <w:pPr>
        <w:jc w:val="left"/>
      </w:pPr>
      <w:r>
        <w:t>公诉机关认为，被告人龙燕庭明知他人实施信息网络犯罪活动，仍提供支付结算帮助，并对犯罪资金予以转移，其行为应当以掩饰、隐瞒犯罪所得罪追究刑事责任。本案系共同犯罪，被告人龙燕庭起次要作用，系从犯，应当从轻、减轻处罚。龙燕庭主动向**机关投案，并如实供述犯罪事实，系自首，可以从轻或者减轻处罚。龙燕庭自愿认罪认罚，可以依法从宽处理。建议对龙燕庭判处拘役四个月，并处罚金，可以适用缓刑。后调整量刑建议，建议对其判处有期徒刑六个月，并处罚金。提请法院依法判处。</w:t>
      </w:r>
    </w:p>
    <w:p>
      <w:pPr>
        <w:jc w:val="left"/>
      </w:pPr>
      <w:r>
        <w:t>被告人龙燕庭对公诉机关指控的罪名、犯罪事实及量刑建议均无异议，同意适用简易程序，且签字具结，在开庭审理过程中亦无异议。</w:t>
      </w:r>
    </w:p>
    <w:p>
      <w:pPr>
        <w:jc w:val="left"/>
      </w:pPr>
      <w:r>
        <w:t>经审理查明的事实与公诉机关的指控一致。</w:t>
      </w:r>
    </w:p>
    <w:p>
      <w:pPr>
        <w:jc w:val="left"/>
      </w:pPr>
      <w:r>
        <w:t>上述事实有经庭审举证、质证并经本院确认的接报案登记表、立案决定书、户籍资料、到案经过、银行流水、证人张某、潘某的证言、被告人龙燕庭的供述与辩解等证据证明，足以认定。</w:t>
      </w:r>
    </w:p>
    <w:p>
      <w:pPr>
        <w:jc w:val="left"/>
      </w:pPr>
      <w:r>
        <w:t>本院认为，被告人龙燕庭明知系违法犯罪所得资金，仍然提供其银行账号，并按照对方指示转账，帮助转移资金，其中29490元系涉电诈犯罪所得资金，其行为已构成掩饰、隐瞒犯罪所得罪。公诉机关指控龙燕庭犯掩饰、隐瞒犯罪所得罪的罪名成立。本案系共同犯罪，龙燕庭在共同犯罪中起次要作用，系从犯，依法应当从轻处罚。龙燕庭主动到**机关投案，如实交代其犯罪事实，且自愿认罪认罚，依法可从轻处罚。公诉机关的量刑建议适当。龙燕庭银行卡中被冻结的被诈骗资金应当由冻结机关发还被害人。据此,根据《中华人民共和国刑法》第三百一十二条第一款、第二十五条第一款、第二十七条、第六十四条、第六十七条第一款及《中华人民共和国刑事诉讼法》第十五条、第二百零一条之规定，判决如下：</w:t>
      </w:r>
    </w:p>
    <w:p>
      <w:pPr>
        <w:jc w:val="left"/>
      </w:pPr>
      <w:r>
        <w:t>被告人龙燕庭犯掩饰、隐瞒犯罪所得罪，判处有期徒刑六个月，并处罚金人民币三千元。</w:t>
      </w:r>
    </w:p>
    <w:p>
      <w:pPr>
        <w:jc w:val="left"/>
      </w:pPr>
      <w:r>
        <w:t>（刑期从判决执行之日起计算，判决执行以前先行羁押的，羁押一日折抵刑期一日。罚金、违法所得限在本判决生效后十日内缴纳。）</w:t>
      </w:r>
    </w:p>
    <w:p>
      <w:pPr>
        <w:jc w:val="left"/>
      </w:pPr>
      <w:r>
        <w:t>如不服本判决，可在接到判决书的第二日起十日内，通过本院或者直接向湖南省株洲市中级人民法院提出上诉。书面上诉的，应当提交上诉状正本一份，副本二份。</w:t>
      </w:r>
    </w:p>
    <w:p>
      <w:pPr>
        <w:jc w:val="left"/>
      </w:pPr>
      <w:r>
        <w:t>审判员　　康　莎</w:t>
      </w:r>
    </w:p>
    <w:p>
      <w:pPr>
        <w:jc w:val="left"/>
      </w:pPr>
      <w:r>
        <w:t>二〇二二年十二月二十日</w:t>
      </w:r>
    </w:p>
    <w:p>
      <w:pPr>
        <w:jc w:val="left"/>
      </w:pPr>
      <w:r>
        <w:t>法官助理　　丁慕蓉</w:t>
      </w:r>
    </w:p>
    <w:p>
      <w:pPr>
        <w:jc w:val="left"/>
      </w:pPr>
      <w:r>
        <w:t>书记员　　肖新玉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;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第二十七条在共同犯罪中起次要或者辅助作用的，是从犯。</w:t>
      </w:r>
    </w:p>
    <w:p>
      <w:pPr>
        <w:jc w:val="left"/>
      </w:pPr>
      <w:r>
        <w:t>对于从犯，应当从轻、减轻处罚或者免除处罚。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</w:t>
      </w:r>
    </w:p>
    <w:p>
      <w:pPr>
        <w:jc w:val="left"/>
      </w:pPr>
      <w:r>
        <w:t>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犯罪嫌疑人虽不具有前两款规定的自首情节，但是如实供述自己罪行的，可以从轻处罚;因其如实供述自己罪行，避免特别严重后果发生的，可以减轻处罚。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第二百零一条对于认罪认罚案件，人民法院依法作出判决时，一般应当采纳人民检察院指控的罪名和量刑建议，但有下列情形的除外:</w:t>
      </w:r>
    </w:p>
    <w:p>
      <w:pPr>
        <w:jc w:val="left"/>
      </w:pPr>
      <w:r>
        <w:t>(一)被告人的行为不构成犯罪或者不应当追究其刑事责任的;</w:t>
      </w:r>
    </w:p>
    <w:p>
      <w:pPr>
        <w:jc w:val="left"/>
      </w:pPr>
      <w:r>
        <w:t>(二)被告人违背意愿认罪认罚的;</w:t>
      </w:r>
    </w:p>
    <w:p>
      <w:pPr>
        <w:jc w:val="left"/>
      </w:pPr>
      <w:r>
        <w:t>(三)被告人否认指控的犯罪事实的;</w:t>
      </w:r>
    </w:p>
    <w:p>
      <w:pPr>
        <w:jc w:val="left"/>
      </w:pPr>
      <w:r>
        <w:t>(四)起诉指控的罪名与审理认定的罪名不一致的;</w:t>
      </w:r>
    </w:p>
    <w:p>
      <w:pPr>
        <w:jc w:val="left"/>
      </w:pPr>
      <w:r>
        <w:t>(五)其他可能影响公正审判的情形。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