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河南省民权县人民法院</w:t>
      </w:r>
    </w:p>
    <w:p>
      <w:pPr>
        <w:jc w:val="center"/>
      </w:pPr>
      <w:r>
        <w:t>刑 事 判 决 书</w:t>
      </w:r>
    </w:p>
    <w:p>
      <w:pPr>
        <w:jc w:val="right"/>
      </w:pPr>
      <w:r>
        <w:t>（2023）豫1421刑初61号</w:t>
      </w:r>
    </w:p>
    <w:p>
      <w:pPr>
        <w:jc w:val="left"/>
      </w:pPr>
      <w:r>
        <w:t>公诉机关民权县人民检察院。</w:t>
      </w:r>
    </w:p>
    <w:p>
      <w:pPr>
        <w:jc w:val="left"/>
      </w:pPr>
      <w:r>
        <w:t>被告人杨某某，男，1989年8月16日出生于贵州省凯里市，中专文化，职员，户籍所在地贵州省凯里市，现住贵州省凯里市。因涉嫌犯掩饰、隐瞒犯罪所得罪，于2021年12月19日被民权县公安局取保候审，于2022年12月28日被民权县人民检察院取保候审，2023年2月7日被本院取保候审。</w:t>
      </w:r>
    </w:p>
    <w:p>
      <w:pPr>
        <w:jc w:val="left"/>
      </w:pPr>
      <w:r>
        <w:t>民权县人民检察院以民检刑诉（2022）574号起诉书指控被告人杨某某犯掩饰、隐瞒犯罪所得罪，于2023年2月6日向本院提起公诉，本院依法适用速裁程序，实行独任审判，公开开庭审理了本案。民权县人民检察院检察员赵志强出庭支持公诉，被告人杨某某到庭参加诉讼，本案现已审理终结。</w:t>
      </w:r>
    </w:p>
    <w:p>
      <w:pPr>
        <w:jc w:val="left"/>
      </w:pPr>
      <w:r>
        <w:t>民权县人民检察院指控，2021年11月5日，被告人杨某某明知熊某某（另案处理）等人从事网络犯罪活动，仍在孙某某（另案处理）的介绍下为熊某某提供一张本人中国农业银行卡，并配合熊某某等人在本人手机上采用扫脸等方式下载数字人民币软件，将本人银行卡及手机提供给熊某某等人进行转账，非法获利1840元（已被公安机关没收）。经查，杨某某卡号为6228********的中国农业银行卡2021年11月5日进账流水金额为279863元。</w:t>
      </w:r>
    </w:p>
    <w:p>
      <w:pPr>
        <w:jc w:val="left"/>
      </w:pPr>
      <w:r>
        <w:t>公诉机关认为，被告人杨某某明知是违法犯罪所得，仍提供本人银行卡和手机，并进行扫脸帮助犯罪分子在手机上下载数字人民币软件提供给犯罪分子帮助转移资金，已构成掩饰、隐瞒犯罪所得罪，系共同犯罪。在共同犯罪中，被告人杨某某起次要、辅助作用，系从犯。建议判处被告人杨某某拘役四个月，缓刑六个月，并处罚金人民币1000元。</w:t>
      </w:r>
    </w:p>
    <w:p>
      <w:pPr>
        <w:jc w:val="left"/>
      </w:pPr>
      <w:r>
        <w:t>被告人杨某某对指控事实、罪名及量刑建议没有异议，同意适用速裁程序且签字具结，在开庭审理过程中亦无异议。</w:t>
      </w:r>
    </w:p>
    <w:p>
      <w:pPr>
        <w:jc w:val="left"/>
      </w:pPr>
      <w:r>
        <w:t>本院认为，被告人杨某某明知是犯罪所得而提供资金账户，并为配合犯罪分子转账而提供刷脸验证，其行为已构成掩饰、隐瞒犯罪所得罪，且情节严重，系共同犯罪，公诉机关指控罪名成立，本院予以支持。被告人杨某某在共同犯罪中，起次要、辅助作用，系从犯，依法减轻处罚。被告人杨某某自愿认罪认罚，签字具结，依法可从宽处理。公诉机关发表的量刑建议适当，本院予以采纳。被告人杨某某符合社区矫正条件。依照《中华人民共和国刑法》第三百一十二条第一款、第二十五条第一款、第二十七条、第五十二条、第六十四条、第七十二条、第七十三条，《中华人民共和国刑事诉讼法》第十五条、第二百零一条之规定，判决如下：</w:t>
      </w:r>
    </w:p>
    <w:p>
      <w:pPr>
        <w:jc w:val="left"/>
      </w:pPr>
      <w:r>
        <w:t>一、被告人杨某某犯掩饰、隐瞒犯罪所得罪，判处拘役四个月，缓刑六个月，并处罚金人民币1000元（已缴纳）。</w:t>
      </w:r>
    </w:p>
    <w:p>
      <w:pPr>
        <w:jc w:val="left"/>
      </w:pPr>
      <w:r>
        <w:t>（缓刑考验期限，从判决确定之日起计算。）</w:t>
      </w:r>
    </w:p>
    <w:p>
      <w:pPr>
        <w:jc w:val="left"/>
      </w:pPr>
      <w:r>
        <w:t>二、被告人杨某某违法所得人民币1840元予以追缴，上缴国库（公安机关已追缴）。</w:t>
      </w:r>
    </w:p>
    <w:p>
      <w:pPr>
        <w:jc w:val="left"/>
      </w:pPr>
      <w:r>
        <w:t>如不服本判决，可在接到判决书的第二日起十日内，通过本院或者直接向河南省商丘市中级人民法院提出上诉。书面上诉的，应当提交上诉状正本一份，副本二份。</w:t>
      </w:r>
    </w:p>
    <w:p>
      <w:pPr>
        <w:jc w:val="left"/>
      </w:pPr>
      <w:r>
        <w:t>审 判 员　黄海涛</w:t>
      </w:r>
    </w:p>
    <w:p>
      <w:pPr>
        <w:jc w:val="left"/>
      </w:pPr>
      <w:r>
        <w:t>二〇二三年二月八日</w:t>
      </w:r>
    </w:p>
    <w:p>
      <w:pPr>
        <w:jc w:val="left"/>
      </w:pPr>
      <w:r>
        <w:t>法官助理　杜立仕</w:t>
      </w:r>
    </w:p>
    <w:p>
      <w:pPr>
        <w:jc w:val="left"/>
      </w:pPr>
      <w:r>
        <w:t>书 记 员　徐娜娜</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