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山西转型综合改革示范区人民法院</w:t>
      </w:r>
    </w:p>
    <w:p>
      <w:pPr>
        <w:jc w:val="center"/>
      </w:pPr>
      <w:r>
        <w:t>刑事判决书</w:t>
      </w:r>
    </w:p>
    <w:p>
      <w:pPr>
        <w:jc w:val="right"/>
      </w:pPr>
      <w:r>
        <w:t>（2024）晋7191刑初135号</w:t>
      </w:r>
    </w:p>
    <w:p>
      <w:pPr>
        <w:jc w:val="left"/>
      </w:pPr>
      <w:r>
        <w:t>公诉机关山西转型综合改革示范区人民检察院。</w:t>
      </w:r>
    </w:p>
    <w:p>
      <w:pPr>
        <w:jc w:val="left"/>
      </w:pPr>
      <w:r>
        <w:t>被告人尹某。2024年4月26日因明知他人从事网络违法犯罪活动，仍将名下银行卡及数字钱包交由他人使用被太原市公安局综改分局行政拘留12日，罚款200元。现因涉嫌犯盗窃罪，于2024年8月9日被取保候审。</w:t>
      </w:r>
    </w:p>
    <w:p>
      <w:pPr>
        <w:jc w:val="left"/>
      </w:pPr>
      <w:r>
        <w:t>山西转型综合改革示范区人民检察院以晋综示检刑诉〔2024〕134号起诉书指控被告人尹某犯盗窃罪，于2024年12月10日向本院提起公诉。本院受理后，依法实行独任审判，适用简易程序公开开庭审理了本案。山西转型综合改革示范区人民检察院指派检察员李晓红出庭支持公诉，被告人尹某到庭参加诉讼。现已审理终结。</w:t>
      </w:r>
    </w:p>
    <w:p>
      <w:pPr>
        <w:jc w:val="left"/>
      </w:pPr>
      <w:r>
        <w:t>公诉机关指控，被告人尹某将自己的银行卡借给他人用于违法犯罪活动，明知自己银行账户为上线走账洗钱且账户资金为违法犯罪资金的情况下，仍将2023年10月20日其中国银行数字人民币账户打入的资金19499元及交通银行数字人民币账户打入的资金9999元，共计29498元违法犯罪资金提现至其名下的浦发银行卡账户占为己有并用于个人消费和偿还信用卡。被告人尹某归案后如实供述了自己的犯罪事实。</w:t>
      </w:r>
    </w:p>
    <w:p>
      <w:pPr>
        <w:jc w:val="left"/>
      </w:pPr>
      <w:r>
        <w:t>针对指控，公诉机关提交了受案登记表、立案决定书、到案经过、涉案数字人民币账户及银行卡交易明细、证人张某证言、被告人尹某供述与辩解、辨认笔录、太原市太航医院彩超检查报告、太原市公安局综改分局行政处罚决定书、社区矫正管理局调查评估意见书、嫌疑人员前科劣迹调查表及常住人口基本信息等证据证实。</w:t>
      </w:r>
    </w:p>
    <w:p>
      <w:pPr>
        <w:jc w:val="left"/>
      </w:pPr>
      <w:r>
        <w:t>公诉机关认为，被告人尹某以非法占有为目的，窃取他人财物，数额较大，其行为触犯了《中华人民共和国刑法》第二百六十四条之规定，犯罪事实清楚，证据确实、充分，应当以盗窃罪追究其刑事责任。被告人尹某自愿认罪认罚，依据《中华人民共和国刑事诉讼法》第十五条的规定，可以依法从宽处理；其自动投案并如实供述自己的罪行，依据《中华人民共和国刑法》第六十七条第一款的规定，系自首，可以从轻处罚。建议判处被告人尹某有期徒刑一年六个月，并处罚金人民币一万元，建议适用缓刑。</w:t>
      </w:r>
    </w:p>
    <w:p>
      <w:pPr>
        <w:jc w:val="left"/>
      </w:pPr>
      <w:r>
        <w:t>被告人尹某对指控事实、罪名及量刑建议没有异议，同意适用简易程序，且签字具结，在开庭审理过程中亦无异议。</w:t>
      </w:r>
    </w:p>
    <w:p>
      <w:pPr>
        <w:jc w:val="left"/>
      </w:pPr>
      <w:r>
        <w:t>经审理查明，2023年9月，被告人尹某从其男友张某处得知郑某某（已判决）需要他人的银行卡进行转账，转账后可支付相应的报酬。2023年10月，被告人尹某明知他人实施网络违法犯罪活动，仍将自己名下交通银行卡一张、浦发银行卡一张及密码交给郑某某，并在郑某某要求下将转入其数字人民币账户的资金转账至上述银行卡中，后被郑某某转走。2023年10月20日，被告人尹某未按照郑某某要求将转入其中国银行数字人民币账户的资金19499元及交通银行数字人民币账户的资金9999元，共计29498元提取到指定账户，而是提现至其名下浦发银行卡，后用于个人消费和还款。2024年8月8日，被告人尹某经公安机关电话通知到案，其到案后如实供述了自己的犯罪事实。</w:t>
      </w:r>
    </w:p>
    <w:p>
      <w:pPr>
        <w:jc w:val="left"/>
      </w:pPr>
      <w:r>
        <w:t>2024年4月26日，被告人尹某因本案所涉明知他人从事网络违法犯罪活动，仍将自己名下银行卡交给他人转账被太原市公安局综改分局行政拘留12日，罚款200元。2024年10月26日经太原市太航医院诊断，尹某系怀孕的妇女。</w:t>
      </w:r>
    </w:p>
    <w:p>
      <w:pPr>
        <w:jc w:val="left"/>
      </w:pPr>
      <w:r>
        <w:t>本案审理期间，被告人尹某主动向本院交纳人民币39498元，表示自愿退缴违法所得并接受财产刑处罚。</w:t>
      </w:r>
    </w:p>
    <w:p>
      <w:pPr>
        <w:jc w:val="left"/>
      </w:pPr>
      <w:r>
        <w:t>上述事实，有当庭出示并经庭审质证、认证的受案登记表、立案决定书、到案经过、涉案数字人民币账户及银行卡交易明细、证人张某证言、被告人尹某供述与辩解、辨认笔录、太原市太航医院彩超检查报告、太原市公安局综改分局行政处罚决定书、社区矫正管理局调查评估意见书、嫌疑人员前科劣迹调查表及常住人口基本信息等证据予以证实，足以认定。</w:t>
      </w:r>
    </w:p>
    <w:p>
      <w:pPr>
        <w:jc w:val="left"/>
      </w:pPr>
      <w:r>
        <w:t>本院认为，被告人尹某以非法占有为目的，窃取他人财物，数额较大，其行为已构成盗窃罪。公诉机关的指控成立。被告人尹某自动投案并如实供述自己的罪行，且自愿认罪认罚，主动退缴违法所得，可对其从轻处罚。公诉机关的量刑建议适当。综合考虑本案事实、情节及被告人尹某悔罪表现，结合社区矫正调查评估意见，对被告人尹某宣告缓刑对所居住社区没有重大不良影响，依法可以适用缓刑。公诉机关的量刑建议适当。依照《中华人民共和国刑法》第二百六十四条、第六十七条第一款、第七十二条第一款、第三款、第七十三条第二款、第三款、第五十二条、第六十四条、《中华人民共和国刑事诉讼法》第十五条、第二百零一条之规定，判决如下：</w:t>
      </w:r>
    </w:p>
    <w:p>
      <w:pPr>
        <w:jc w:val="left"/>
      </w:pPr>
      <w:r>
        <w:t>一、被告人尹某犯盗窃罪，判处有期徒刑一年六个月，缓刑二年，并处罚金人民币一万元。</w:t>
      </w:r>
    </w:p>
    <w:p>
      <w:pPr>
        <w:jc w:val="left"/>
      </w:pPr>
      <w:r>
        <w:t>（缓刑考验期限，从判决确定之日起计算。罚金已缴纳。）</w:t>
      </w:r>
    </w:p>
    <w:p>
      <w:pPr>
        <w:jc w:val="left"/>
      </w:pPr>
      <w:r>
        <w:t>二、被告人尹某退缴的违法所得人民币二万九千四百九十八元，依法予以没收。</w:t>
      </w:r>
    </w:p>
    <w:p>
      <w:pPr>
        <w:jc w:val="left"/>
      </w:pPr>
      <w:r>
        <w:t>如不服本判决，可在接到判决书的第二日起十日内，通过本院或者直接向太原铁路运输中级法院提出上诉。书面上诉的，应当提交上诉状正本一份，副本二份。</w:t>
      </w:r>
    </w:p>
    <w:p>
      <w:pPr>
        <w:jc w:val="left"/>
      </w:pPr>
      <w:r>
        <w:t>审判员　阎　冬</w:t>
      </w:r>
    </w:p>
    <w:p>
      <w:pPr>
        <w:jc w:val="left"/>
      </w:pPr>
      <w:r>
        <w:t>二〇二四年十二月三十日</w:t>
      </w:r>
    </w:p>
    <w:p>
      <w:pPr>
        <w:jc w:val="left"/>
      </w:pPr>
      <w:r>
        <w:t>书记员　杨荟可</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