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广东省佛山市高明区人民法院</w:t>
      </w:r>
    </w:p>
    <w:p>
      <w:pPr>
        <w:jc w:val="center"/>
      </w:pPr>
      <w:r>
        <w:t>刑 事 判 决 书</w:t>
      </w:r>
    </w:p>
    <w:p>
      <w:pPr>
        <w:jc w:val="right"/>
      </w:pPr>
      <w:r>
        <w:t>（2024）粤0608刑初345号</w:t>
      </w:r>
    </w:p>
    <w:p>
      <w:pPr>
        <w:jc w:val="left"/>
      </w:pPr>
      <w:r>
        <w:t>公诉机关广东省佛山市高明区人民检察院。</w:t>
      </w:r>
    </w:p>
    <w:p>
      <w:pPr>
        <w:jc w:val="left"/>
      </w:pPr>
      <w:r>
        <w:t>被告人卢某甲，男，1994年8月4日出生，公民身份号码XXX，汉族，高中文化，和平县某商行经营者，户籍所在地广东省河源市和平县。因本案于2024年3月15日被羁押，同日被刑事拘留，同年4月19日被逮捕。现押于佛山市高明区看守所。</w:t>
      </w:r>
    </w:p>
    <w:p>
      <w:pPr>
        <w:jc w:val="left"/>
      </w:pPr>
      <w:r>
        <w:t>广东省佛山市高明区人民检察院以佛明检刑诉〔2024〕322号起诉书指控被告人卢某甲犯掩饰、隐瞒犯罪所得罪，于2024年7月17日向本院提起公诉。本院依法适用简易程序，实行独任审判，于2024年7月23日公开开庭审理了本案。广东省佛山市高明区人民检察院指派检察员宫凡出庭支持公诉，被告人卢某甲到庭参加诉讼。现已审理终结。</w:t>
      </w:r>
    </w:p>
    <w:p>
      <w:pPr>
        <w:jc w:val="left"/>
      </w:pPr>
      <w:r>
        <w:t>公诉机关指控：2023年12月，被告人卢某甲将其经营的“和平县某商行”商家收款码借给了其姐姐卢某乙使用，期间，卢某甲绑定的商家收款码数字人民币钱包陆续收到多笔不明转账，卢某甲意识到不明转账可能涉嫌电信网络诈骗，但心存侥幸仍然按照卢某乙的要求通过数字人民币、银行卡转账的方式将不明资金转给卢某乙。经查明，其数字人民币钱包共计转入人民币687482.81元（币种下同），卢某甲通过数字人民币、银行卡转账的方式转出687482.81元。佛山市公安局高明分局通过国家反诈大数据平台查询发现被害人吴某甲、黄某、吴某乙、胡某被电信诈骗后被骗资金共计13949元进入卢某甲的数字人民币钱包。案发后，卢某甲家属已退赔被害人损失13949元，被害人对卢某甲表示谅解。</w:t>
      </w:r>
    </w:p>
    <w:p>
      <w:pPr>
        <w:jc w:val="left"/>
      </w:pPr>
      <w:r>
        <w:t>公诉机关提供了相应的证据，认为被告人卢某甲出借商家收款码帮助转移诈骗赃款，其行为触犯了《中华人民共和国刑法》第三百一十二条，应当以掩饰、隐瞒犯罪所得罪追究其刑事责任。被告人卢某甲在犯罪中起次要作用，系从犯，根据《中华人民共和国刑法》第二十七条第二款应当从轻处罚。被告人卢某甲认罪认罚，依据《中华人民共和国刑事诉讼法》第十五条的规定，可以从宽处理。建议对被告人卢某甲判处有期徒刑十个月，缓刑一年，并处罚金。提请本院依法判处。</w:t>
      </w:r>
    </w:p>
    <w:p>
      <w:pPr>
        <w:jc w:val="left"/>
      </w:pPr>
      <w:r>
        <w:t>被告人卢某甲对公诉机关指控的犯罪事实、罪名及量刑建议均没有异议，同意适用简易程序，并于庭前签署了《认罪认罚具结书》，庭审过程中亦无异议。</w:t>
      </w:r>
    </w:p>
    <w:p>
      <w:pPr>
        <w:jc w:val="left"/>
      </w:pPr>
      <w:r>
        <w:t>经审理查明，公诉机关指控被告人卢某甲犯掩饰、隐瞒犯罪所得罪的犯罪事实清楚，证据确实、充分，本院予以确认。</w:t>
      </w:r>
    </w:p>
    <w:p>
      <w:pPr>
        <w:jc w:val="left"/>
      </w:pPr>
      <w:r>
        <w:t>上述事实，被告人卢某甲在庭审过程中没有异议，且有公诉机关提交并经法庭质证、认证的手机等物证，扣押决定书、扣押笔录、扣押清单、户籍信息、抓获经过、银行交易流水、手机截图、认罪认罚具结书等书证，证人卢某乙的证言，被害人吴某乙、吴某甲等人的陈述，被告人卢某甲的供述与辩解，视听资料等证据予以证实，足以认定。</w:t>
      </w:r>
    </w:p>
    <w:p>
      <w:pPr>
        <w:jc w:val="left"/>
      </w:pPr>
      <w:r>
        <w:t>本院认为，被告人卢某甲明知是犯罪所得而予以转移，其行为已构成掩饰、隐瞒犯罪所得罪。公诉机关指控被告人卢某甲犯掩饰、隐瞒犯罪所得罪的犯罪事实清楚，证据确实、充分，罪名成立。被告人卢某甲按照上家指示通过提供收款码并转账方式转移犯罪所得，在共同犯罪中起次要作用，系从犯，依法对其从轻处罚。被告人卢某甲归案后如实供述自己的罪行，且自愿认罪认罚，依法对其从轻处罚。被告人卢某甲的家属代其向被害人退赔损失13949元，酌情对其从轻处罚。将公安机关扣押的被告人供犯罪所用的作案工具予以没收，上缴国库。公诉机关的量刑建议适当，本院予以采纳。综上，依照《中华人民共和国刑法》第三百一十二条、第二十五条、第二十七条、第五十二条、第五十三条、第六十四条、第六十七条第三款、第七十二条第一、三款、第七十三条第二、三款和《中华人民共和国刑事诉讼法》第十五条之规定，判决如下：</w:t>
      </w:r>
    </w:p>
    <w:p>
      <w:pPr>
        <w:jc w:val="left"/>
      </w:pPr>
      <w:r>
        <w:t>一、被告卢某甲犯掩饰、隐瞒犯罪所得罪，判处有期徒刑十个月，缓刑一年，并处罚金人民币5000元；</w:t>
      </w:r>
    </w:p>
    <w:p>
      <w:pPr>
        <w:jc w:val="left"/>
      </w:pPr>
      <w:r>
        <w:t>（缓刑考验期限从判决确定之日起计算；罚金于本判决生效之日起十日内向本院缴纳。）</w:t>
      </w:r>
    </w:p>
    <w:p>
      <w:pPr>
        <w:jc w:val="left"/>
      </w:pPr>
      <w:r>
        <w:t>二、将扣押的作案工具被告人卢某甲手机一台（具体品牌、型号、特征详见扣押清单）予以没收，由扣押机关上缴国库。</w:t>
      </w:r>
    </w:p>
    <w:p>
      <w:pPr>
        <w:jc w:val="left"/>
      </w:pPr>
      <w:r>
        <w:t>如不服本判决，可在接到判决书的第二日起十日内，通过本院或者直接向佛山市中级人民法院提出上诉。书面上诉的，应当提交上诉状正本一份，副本两份。</w:t>
      </w:r>
    </w:p>
    <w:p>
      <w:pPr>
        <w:jc w:val="left"/>
      </w:pPr>
      <w:r>
        <w:t>审判员　　周朋飞</w:t>
      </w:r>
    </w:p>
    <w:p>
      <w:pPr>
        <w:jc w:val="left"/>
      </w:pPr>
      <w:r>
        <w:t>二〇二四年七月三十日</w:t>
      </w:r>
    </w:p>
    <w:p>
      <w:pPr>
        <w:jc w:val="left"/>
      </w:pPr>
      <w:r>
        <w:t>书记员　　庞艳媚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