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广东省佛山市中级人民法院</w:t>
      </w:r>
    </w:p>
    <w:p>
      <w:pPr>
        <w:jc w:val="center"/>
      </w:pPr>
      <w:r>
        <w:t>刑事裁定书</w:t>
      </w:r>
    </w:p>
    <w:p>
      <w:pPr>
        <w:jc w:val="right"/>
      </w:pPr>
      <w:r>
        <w:t>（2025）粤06刑终15号</w:t>
      </w:r>
    </w:p>
    <w:p>
      <w:pPr>
        <w:jc w:val="left"/>
      </w:pPr>
      <w:r>
        <w:t>原公诉机关佛山市顺德区人民检察院。</w:t>
      </w:r>
    </w:p>
    <w:p>
      <w:pPr>
        <w:jc w:val="left"/>
      </w:pPr>
      <w:r>
        <w:t>上诉人（原审被告人）何某甲，男，2000年7月2日出生，汉族，大学本科文化，无业，户籍地广东省广州市增城区。因本案于2022年9月16日被广州市公安局南沙分局羁押，同月18日被刑事拘留，同年10月24日被取保候审，2024年3月19日被佛山市公安局顺德分局羁押，同日被刑事拘留，同年4月18日被逮捕。现押于佛山市南海区看守所。</w:t>
      </w:r>
    </w:p>
    <w:p>
      <w:pPr>
        <w:jc w:val="left"/>
      </w:pPr>
      <w:r>
        <w:t>原审被告人李某甲，男，1979年2月8日出生，汉族，初中文化，无业，户籍地湖南省宜章县。因本案于2024年3月12日被羁押，同日被刑事拘留，2024年4月18日被逮捕，同年12月11日被取保候审。</w:t>
      </w:r>
    </w:p>
    <w:p>
      <w:pPr>
        <w:jc w:val="left"/>
      </w:pPr>
      <w:r>
        <w:t>佛山市顺德区人民法院审理佛山市顺德区人民检察院指控原审被告人何某甲、李某甲犯掩饰、隐瞒犯罪所得罪一案，于2024年11月14日作出（2024）粤0606刑初2963号刑事判决。原审被告人何某甲不服，提出上诉。本院依法组成合议庭，经过阅卷，讯问原审被告人，认为本案事实清楚，决定以不开庭方式审理。现已审理终结。</w:t>
      </w:r>
    </w:p>
    <w:p>
      <w:pPr>
        <w:jc w:val="left"/>
      </w:pPr>
      <w:r>
        <w:t>原审判决认定：</w:t>
      </w:r>
    </w:p>
    <w:p>
      <w:pPr>
        <w:jc w:val="left"/>
      </w:pPr>
      <w:r>
        <w:t>一、何某甲、周某甲（另案处理）等人掩饰、隐瞒犯罪所得事实</w:t>
      </w:r>
    </w:p>
    <w:p>
      <w:pPr>
        <w:jc w:val="left"/>
      </w:pPr>
      <w:r>
        <w:t>2022年8月至9月期间，被告人何某甲明知系犯罪所得，先后组织周某甲、郭某、凌某、汤某、刘某甲、陈某甲、王某甲、张某甲（均另案处理）等人进行“跑分”，即使用招揽的卡主以及周某甲等团队成员的银行账户、数字人民币账户转移犯罪所得。具体分工是：何某甲负责对接上家“三生有幸”（在逃）并从上家获得“跑分”金额3%的好处费，安排团队成员的工作内容并分配报酬，使用卡主或者团队成员的银行账户、数字人民币账户并操作卡主或者团队成员的手机转移资金；“三生有幸”负责招募卡主；周某甲主要负责开车接送何某甲，并将自己的数字人民币账户及密码交给何某甲转移资金；郭某、凌某、汤某、刘某甲、陈某甲、王某甲、张某甲等人主要负责接送和看管卡主，收集卡主的数字人民币账户及密码以及将自己的银行账户、数字人民币账户及密码交给何某甲转移资金。</w:t>
      </w:r>
    </w:p>
    <w:p>
      <w:pPr>
        <w:jc w:val="left"/>
      </w:pPr>
      <w:r>
        <w:t>2022年8月24日至2022年9月15日期间，何某甲利用郭某的数字人民币账户转移崔某等人被诈骗款人民币（以下币种同）161999.5元，利用郭某的中国建设银行账户（卡号：XXX）转移赵某甲等人被诈骗款59000.4元，利用凌某的数字人民币账户转移刘某乙等人被诈骗款130000元，利用汤某的数字人民币账户转移于某等人被诈骗款111566元，利用周某甲的数字人民币账户转移朱某甲被诈骗款20000元，以上共计482565.9元。</w:t>
      </w:r>
    </w:p>
    <w:p>
      <w:pPr>
        <w:jc w:val="left"/>
      </w:pPr>
      <w:r>
        <w:t>二、何某甲、李某甲等人掩饰、隐瞒犯罪所得事实</w:t>
      </w:r>
    </w:p>
    <w:p>
      <w:pPr>
        <w:jc w:val="left"/>
      </w:pPr>
      <w:r>
        <w:t>2024年2月24日，被告人何某甲明知系犯罪所得，招揽卡主被告人李某甲、严某（另案处理）提供名下银行卡转移非法资金。</w:t>
      </w:r>
    </w:p>
    <w:p>
      <w:pPr>
        <w:jc w:val="left"/>
      </w:pPr>
      <w:r>
        <w:t>当日上午，严某从广东省东莞市东城街道去到广州市增城区一路边，刘某丙（另案处理）、何某甲等人驾驶XXX号牌小汽车接上严某，严某将自己的手机、两张银行卡及密码交给何某甲。期间，程某被诈骗33000元转入严某平安银行账户（卡号：XXX），胡某被诈骗50000元转入严某中国邮政储蓄银行账户（卡号：XXX），由何某甲操作严某的手机将上述83000元转移出去，严某收取报酬后下车离开。</w:t>
      </w:r>
    </w:p>
    <w:p>
      <w:pPr>
        <w:jc w:val="left"/>
      </w:pPr>
      <w:r>
        <w:t>当日下午，李某甲从佛山市顺德区去到广州市增城区一路边，刘某丙、何某甲等人驾驶XXX号牌小汽车接上李某甲，李某甲将自己的手机、两张银行卡及密码交给何某甲。当日19时许，祝某被诈骗50000元转入李某甲中国银行账户（卡号：XXX），后李某甲在附近的ATM机上取现30000元，其余资金由何某甲操作李某甲的手机转移出去。后何某甲支付李某甲3000元现金，李某甲收取报酬后下车离开。</w:t>
      </w:r>
    </w:p>
    <w:p>
      <w:pPr>
        <w:jc w:val="left"/>
      </w:pPr>
      <w:r>
        <w:t>综上，何某甲掩饰、隐瞒犯罪所得的数额为615565.9元，李某甲掩饰、隐瞒犯罪所得的数额为50000元。</w:t>
      </w:r>
    </w:p>
    <w:p>
      <w:pPr>
        <w:jc w:val="left"/>
      </w:pPr>
      <w:r>
        <w:t>2024年3月12日，民警在佛山市南海区大沥镇横桂线路XX烟酒行门口抓获被告人李某甲。</w:t>
      </w:r>
    </w:p>
    <w:p>
      <w:pPr>
        <w:jc w:val="left"/>
      </w:pPr>
      <w:r>
        <w:t>2024年3月19日，民警在广东省肇庆市端州区抓获被告人何某甲。</w:t>
      </w:r>
    </w:p>
    <w:p>
      <w:pPr>
        <w:jc w:val="left"/>
      </w:pPr>
      <w:r>
        <w:t>原判认定上述事实有经原审庭审举证、质证的下列证据予以证实：户籍证明，抓获经过，涉案被害人夏某、周某乙、崔某、黄某、张某乙、朱某乙、赵某乙、王某乙、李某乙、李某丙、赵某甲、李某丁、李某戊、何某乙、祝某、程某、胡某等人的陈述，被告人何某甲、李某甲的供述和辩解，证人周某甲、郭某、凌某、汤某、陈某甲、王某甲、张某甲、陈某乙、廖某、刘某丙、谢某、严某、王某丙、何某丙等人的证言，指认、辨认笔录，搜查笔录、扣押笔录，银行、支付宝交易流水，图侦报告，情况说明等。</w:t>
      </w:r>
    </w:p>
    <w:p>
      <w:pPr>
        <w:jc w:val="left"/>
      </w:pPr>
      <w:r>
        <w:t>原判认为，被告人何某甲、李某甲明知是犯罪所得而提供资金账户予以转移，二人的行为均已构成掩饰、隐瞒犯罪所得罪，其中被告人何某甲属于情节严重。被告人何某甲负责与上家联系，招募、管理“跑分”团队，提供银行卡、数字人民币等支付账户信息并且具体操作转移资金，其在共同犯罪中起主要作用，系主犯，应当按照其所参与的全部犯罪处罚。被告人李某甲在共同犯罪中起次要作用，系从犯，依法从轻处罚。被告人李某甲归案后如实供述犯罪事实，且自愿认罪认罚，依法从轻处罚。追缴被告人李某甲的违法所得，上缴国库。依照《中华人民共和国刑法》第三百一十二条第一款、第五十二条、第五十三条、第二十五条第一款、第二十六条第一款及第四款、第二十七条、第六十七条第三款、第六十四条的规定，作出如下判决：一、被告人何某甲犯掩饰、隐瞒犯罪所得罪，判处有期徒刑三年六个月，并处罚金人民币五万元。二、被告人李某甲犯掩饰、隐瞒犯罪所得罪，判处有期徒刑九个月，并处罚金人民币五千元。三、追缴被告人李某甲的违法所得人民币3000元，上缴国库。</w:t>
      </w:r>
    </w:p>
    <w:p>
      <w:pPr>
        <w:jc w:val="left"/>
      </w:pPr>
      <w:r>
        <w:t>原审被告人何某甲上诉提出：1.第一宗事实中，上家“三生有幸”告知转的系赌博的钱，不知系诈骗所得赃款，且仅负责测试卡主的账号密码后转发给“三生有幸”，并控制卡主的手机及看好卡主，无实际操作转移资金，起次要作用，故其仅构成帮助信息网络犯罪活动罪，且是从犯，参与犯罪时间短，归案后如实供述，认罪悔罪，犯罪情节较轻，社会危害性不大。2.没有参与第二宗犯罪，不排除证人李某甲、谢某、严某系受到公安的诱导而指认上诉人，与刘某丙的聊天、通话记录不能证实二人存在雇佣关系，刘某丙的证言可信度低；证人何某丁、何某丙、王某丙均证实案发时上诉人在家里烧烤；公安机关未及时调取其住处及李某甲取现时的银行监控证实其是否在案发现场；故现有证据不能证实其参与该宗犯罪。综上，一审错误认定部分事实，错误认定罪名，导致对其量刑过重，罚金过重。</w:t>
      </w:r>
    </w:p>
    <w:p>
      <w:pPr>
        <w:jc w:val="left"/>
      </w:pPr>
      <w:r>
        <w:t>经审理查明，原审判决认定上诉人何某甲、原审被告人李某甲犯掩饰、隐瞒犯罪所得罪的事实清楚，证据确实、充分，本院予以确认。</w:t>
      </w:r>
    </w:p>
    <w:p>
      <w:pPr>
        <w:jc w:val="left"/>
      </w:pPr>
      <w:r>
        <w:t>对于上诉人何某甲上诉所提其在第一宗事实无实际操作转移资金，应构成帮助信息网络犯罪活动罪，且系从犯的意见，经查：1.同案人周某甲、郭某、汤某、凌某、王某甲、张某甲、陈某甲均指证上诉人何某甲系组织跑分洗钱的老板，对接卡商中介和上级洗钱老板，安排同案人按其发送的位置接卡主到其指定的地点与其汇合，掌握卡主及同案人的银行账户及密码、数字人民币钱包等信息，控制卡主及同案人的手机，提供卡主的银行账户信息等给上家，待卡主银行卡收到款项后，上诉人即使用卡主或同案人手机将款项在卡主、同案人、上家的数字钱包之间流转，安排同案人带卡主去柜员机取现，事后支付报酬给卡主及同案人；上诉人何某甲在侦查阶段亦供认带领团队做跑分，控制卡主的手机，将卡主的银行账号信息等发送给上家。故上诉人何某甲明知其参与转移的款项是犯罪所得，仍组织同案人分工合作协助其转移款项，最终导致提供的卡主的银行卡接收的犯罪所得被其转移而无法追回，其行为符合掩饰、隐瞒犯罪所得罪的犯罪构成。2.上诉人何某甲组织管理同案人实施掩饰、隐瞒犯罪所得犯罪，在共同犯罪中起主要作用，是主犯，依法应按照其所参与的全部犯罪处罚。上诉人所提上诉意见理据不足，不予采纳。</w:t>
      </w:r>
    </w:p>
    <w:p>
      <w:pPr>
        <w:jc w:val="left"/>
      </w:pPr>
      <w:r>
        <w:t>对于上诉人何某甲提出没有参与第二宗犯罪事实，证人均系受到公安诱导而对其作出虚假指证的意见，经查：1.同案人李某甲、刘某丙、谢某证实2024年2月24日16时许，李某甲上了刘某丙搭载何某甲、谢某的汽车后，何某甲索取了李某甲的手机及银行卡、支付宝密码等后一直在操作李某甲手机，期间何某甲叫刘某丙与李某甲去不同的银行柜员机取现金；2.同案人严某证实，2024年2月24日9时许，严某与丈夫上了刘某丙搭载何某甲的汽车后，其丈夫坐副驾，其坐后排，何某甲索取了严某的银行卡、身份证、手机等后一直在操作严的手机转账；同案人刘某丙证实其平时按何某甲指示接客人，乘客在车上将银行卡、手机提供给何某甲刷银行流水，2024年2月24日其驾驶车辆与何某甲搭载了一对夫妻，丈夫坐副驾驶，妻子坐后排。3.无证据反映公安机关在刘某丙、谢某、严某、李某甲辨认时有实施诱导行为，也无证据反映刘某丙、谢某、严某、李某甲共同陷害何某甲的迹象；刘某丙、谢某、严某、李某甲除指认出何某甲外还指证了自己及其他同案人各自实施的行为；综合刘某丙、谢某与何某甲多次合作的熟识程度、刘某丙及李某甲提到在车内因吃槟榔、抽烟、喝水时有摘下口罩，能看到脸的证言，结合辨认笔录及辨认同步视频反映的李某甲、刘某丙、谢某、严某辨认同案人的过程，故对四人的辨认应予采信。4.刘某丙、谢某、严某、李某甲等人的证言及供述中，对分别见面的原因、见面的时间地点、所乘车辆特征、各自乘坐位置、在车内何某甲取得李某甲、严某银行卡信息及手机后分别操作二人手机、去银行取现等细节均能分别相互印证，并能与行车轨迹、银行交易流水相互印证，足以认定何某甲参与第二宗掩饰、隐瞒犯罪所得罪的事实。上诉人何某甲上诉所提案发当时其在家中吃饭与烧烤的意见及何某甲亲友的证言，并不影响本案的认定。该上诉意见与查明的事实不符，不予采纳。</w:t>
      </w:r>
    </w:p>
    <w:p>
      <w:pPr>
        <w:jc w:val="left"/>
      </w:pPr>
      <w:r>
        <w:t>对于上诉人何某甲上诉所提原判对其量刑及罚金过重的意见，经查，原审判决根据上诉人何某甲犯罪的事实、情节、性质、社会危害后果以及其在共同犯罪中的地位作用等，依照刑法的有关规定在法定刑幅度内对其量刑，量刑适当。该上诉意见理由不充分，不予采纳。</w:t>
      </w:r>
    </w:p>
    <w:p>
      <w:pPr>
        <w:jc w:val="left"/>
      </w:pPr>
      <w:r>
        <w:t>本院认为，上诉人何某甲、原审被告人李某甲明知是犯罪所得而提供资金账户予以转移，均构成掩饰、隐瞒犯罪所得罪，其中上诉人何某甲属于情节严重。上诉人何某甲在共同犯罪中起主要作用，系主犯，应当按照其所参与的全部犯罪处罚。原审被告人李某甲在共同犯罪中起次要作用，系从犯，依法从轻处罚。原审被告人李某甲归案后如实供述犯罪事实，依法从轻处罚。原审判决认定事实清楚，证据确实、充分，定罪准确，量刑适当，审判程序合法。依照《中华人民共和国刑事诉讼法》第二百三十六条第一款第一项的规定，裁定如下：</w:t>
      </w:r>
    </w:p>
    <w:p>
      <w:pPr>
        <w:jc w:val="left"/>
      </w:pPr>
      <w:r>
        <w:t>驳回上诉，维持原判。</w:t>
      </w:r>
    </w:p>
    <w:p>
      <w:pPr>
        <w:jc w:val="left"/>
      </w:pPr>
      <w:r>
        <w:t>本裁定为终审裁定。</w:t>
      </w:r>
    </w:p>
    <w:p>
      <w:pPr>
        <w:jc w:val="left"/>
      </w:pPr>
      <w:r>
        <w:t>审判长唐毅军</w:t>
      </w:r>
    </w:p>
    <w:p>
      <w:pPr>
        <w:jc w:val="left"/>
      </w:pPr>
      <w:r>
        <w:t>审判员吴文波</w:t>
      </w:r>
    </w:p>
    <w:p>
      <w:pPr>
        <w:jc w:val="left"/>
      </w:pPr>
      <w:r>
        <w:t>审判员彭世宇</w:t>
      </w:r>
    </w:p>
    <w:p>
      <w:pPr>
        <w:jc w:val="left"/>
      </w:pPr>
      <w:r>
        <w:t>二〇二五年二月五日</w:t>
      </w:r>
    </w:p>
    <w:p>
      <w:pPr>
        <w:jc w:val="left"/>
      </w:pPr>
      <w:r>
        <w:t>法官助理李芳</w:t>
      </w:r>
    </w:p>
    <w:p>
      <w:pPr>
        <w:jc w:val="left"/>
      </w:pPr>
      <w:r>
        <w:t>书记员马文静</w:t>
      </w:r>
    </w:p>
    <w:p>
      <w:pPr>
        <w:jc w:val="left"/>
      </w:pPr>
      <w:r>
        <w:t>附相关法律条文：</w:t>
      </w:r>
    </w:p>
    <w:p>
      <w:pPr>
        <w:jc w:val="left"/>
      </w:pPr>
      <w:r>
        <w:t>《中华人民共和国刑事诉讼法》</w:t>
      </w:r>
    </w:p>
    <w:p>
      <w:pPr>
        <w:jc w:val="left"/>
      </w:pPr>
      <w:r>
        <w:t>第二百三十六条第二审人民法院对不服第一审判决的上诉、抗诉案件，经过审理后，应当按照下列情形分别处理：</w:t>
      </w:r>
    </w:p>
    <w:p>
      <w:pPr>
        <w:jc w:val="left"/>
      </w:pPr>
      <w:r>
        <w:t>（一）原判决认定事实和适用法律正确、量刑适当的，应当裁定驳回上诉或者抗诉，维持原判；</w:t>
      </w:r>
    </w:p>
    <w:p>
      <w:pPr>
        <w:jc w:val="left"/>
      </w:pPr>
      <w:r>
        <w:t>（二）原判决认定事实没有错误，但适用法律有错误，或者量刑不当的，应当改判；</w:t>
      </w:r>
    </w:p>
    <w:p>
      <w:pPr>
        <w:jc w:val="left"/>
      </w:pPr>
      <w:r>
        <w:t>（三）原判决事实不清楚或者证据不足的，可以在查清事实后改判；也可以裁定撤销原判，发回原审人民法院重新审判。</w:t>
      </w:r>
    </w:p>
    <w:p>
      <w:pPr>
        <w:jc w:val="left"/>
      </w:pPr>
      <w: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