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辽宁省抚顺市中级人民法院</w:t>
      </w:r>
    </w:p>
    <w:p>
      <w:pPr>
        <w:jc w:val="center"/>
      </w:pPr>
      <w:r>
        <w:t>刑事裁定书</w:t>
      </w:r>
    </w:p>
    <w:p>
      <w:pPr>
        <w:jc w:val="left"/>
      </w:pPr>
      <w:r>
        <w:t>(2023)辽04刑终5号</w:t>
      </w:r>
    </w:p>
    <w:p>
      <w:pPr>
        <w:jc w:val="left"/>
      </w:pPr>
      <w:r>
        <w:t>原公诉机关抚顺市顺城区人民检察院。</w:t>
      </w:r>
    </w:p>
    <w:p>
      <w:pPr>
        <w:jc w:val="left"/>
      </w:pPr>
      <w:r>
        <w:t>上诉人（原审被告人）高某某，男，1985年1月24日出生，汉族，初中文化，无业，住广东省揭阳市揭东区。因本案于2022年2月14日被刑事拘留，同年3月18日被逮捕。现羁押于抚顺市第一看守所。</w:t>
      </w:r>
    </w:p>
    <w:p>
      <w:pPr>
        <w:jc w:val="left"/>
      </w:pPr>
      <w:r>
        <w:t>辩护人李科新，系辽宁必然律师事务所律师。</w:t>
      </w:r>
    </w:p>
    <w:p>
      <w:pPr>
        <w:jc w:val="left"/>
      </w:pPr>
      <w:r>
        <w:t>抚顺市顺城区人民法院审理抚顺市顺城区人民检察院指控原审被告人高某某犯掩饰、隐瞒犯罪所得罪一案，于2022年11月18日作出(2022)辽0411刑初89号刑事判决。宣判后，原公诉机关抚顺市顺城区人民检察院未提出抗诉，原审被告人高锐填不服，提出上诉。本院受理后，依法组成合议庭审理了本案，合议庭经过审阅本案卷宗材料，依法讯问上诉人高锐填，认为本案不属于依法必须开庭审理的案件，决定不开庭审理，核实了全案证据，对原审认定的事实和适用法律进行了全面审查。现已审理终结。</w:t>
      </w:r>
    </w:p>
    <w:p>
      <w:pPr>
        <w:jc w:val="left"/>
      </w:pPr>
      <w:r>
        <w:t>原审判决认定：2021年10月至11月，被告人高某某通过自己或他人居间介绍认识苏某、杨某，并通过苏某、杨某配合高锐填刷脸验证的方式开通网商银行数字人民币钱包，帮助好友陈某某（另案处理）进行电信网络诈骗资金的转进转出操作。陈某某通过高锐填向苏某、杨某提供食宿及每天报酬200-500元不等。经查，2021年10月至11月，苏某数字人民币钱包流水金额4347246.50元，高锐填帮助转移抚顺籍被害人程某被骗资金5万元；杨某数字人民币钱包流水金额5303622.84元，其中包括程某被骗资金5万元。被告人高锐填于2022年2月9日向揭阳市当地警方投案；案发后高锐填主动退还被害人程某2万元。</w:t>
      </w:r>
    </w:p>
    <w:p>
      <w:pPr>
        <w:jc w:val="left"/>
      </w:pPr>
      <w:r>
        <w:t>上述事实有经原审庭审质证、确认的到案经过、受案登记表、立案决定书等书证、被害人程某的陈述、证人苏某、杨某的证言、辨认笔录、收条、退赃说明、情况说明、数字钱包流水，被告人高某某的供述和辩解等证据证实，足以认定。</w:t>
      </w:r>
    </w:p>
    <w:p>
      <w:pPr>
        <w:jc w:val="left"/>
      </w:pPr>
      <w:r>
        <w:t>原审法院认为，被告人高某某明知是犯罪所得而协助予以转移，其行为已构成掩饰、隐瞒犯罪所得罪。公诉机关的指控成立。辩护人的辩护意见，一审法院予以采纳。被告人高某某犯罪以后自动投案，如实供述自己的罪行的，是自首，可减轻处罚。被告人高某某退赔部分赃款，可酌情从轻处罚。依照《中华人民共和国刑法》第三百一十二条第一款、第六十七条第一款、第五十二条、第五十三条、第六十一条、《最高人民法院&lt;关于审理掩饰、隐瞒犯罪所得、犯罪所得收益刑事案件适用法律若干问题的解释&gt;》第三条之规定，作出如下判决：被告人高某某犯掩饰、隐瞒犯罪所得罪，判处有期徒刑二年六个月，并处罚金人民币二万元。</w:t>
      </w:r>
    </w:p>
    <w:p>
      <w:pPr>
        <w:jc w:val="left"/>
      </w:pPr>
      <w:r>
        <w:t>上诉人高某某提出的上诉理由及其辩护人提出的辩护意见是：1.犯罪数额不应以苏某及杨某的银行卡流水作为量刑标准，应区分是否为实际涉嫌诈骗流水；2.原判量刑过重，上诉人具有多个法定、酌定的从轻、减轻处罚情节</w:t>
      </w:r>
    </w:p>
    <w:p>
      <w:pPr>
        <w:jc w:val="left"/>
      </w:pPr>
      <w:r>
        <w:t>经审理查明，抚顺市顺城区人民法院在判决书中列举了认定本案事实的证据，相关证据均已在原审开庭审理时当庭出示并经质证。本院经依法全面审查，对原审判决认定的事实和所列证据均予以确认。本案审理期间，上诉人高锐填及其指定辩护人在二审期间均未提交新的证据。</w:t>
      </w:r>
    </w:p>
    <w:p>
      <w:pPr>
        <w:jc w:val="left"/>
      </w:pPr>
      <w:r>
        <w:t>本院认为，上诉人高某某明知是犯罪所得仍予以转移，其行为已构成掩饰、隐瞒犯罪所得罪，应当依法予以惩处。</w:t>
      </w:r>
    </w:p>
    <w:p>
      <w:pPr>
        <w:jc w:val="left"/>
      </w:pPr>
      <w:r>
        <w:t>关于上诉人高某某及其辩护人提出犯罪数额不应以苏某及杨某的银行卡流水作为量刑标准，应区分是否为实际涉嫌诈骗流水的上诉理由及其辩护意见。经查，结合高某某、苏某、杨某在侦查机关的供述及高锐填在原审庭审的供述，上诉人高某某明知他人实施违法活动，仍然通过苏某、杨某配合其刷脸验证的方式开通网商银行数字人民币钱包，帮助陈晓升进行电信网络诈骗资金的转进转出操作，其并无证据证明苏某、杨某银行卡流转资金存在与涉案无关的部分，应对其所操作的苏某、杨某银行卡内的全部数额承担责任。此点上诉理由及辩护意见无事实及法律依据，不予采纳。关于上诉人高某某及其辩护人提出原判量刑过重，上诉人具有多个法定、酌定的从轻、减轻处罚情节的上诉理由及其辩护意见。经查，原审法院在准确认定案件事实的基础上，对高锐填量刑时已充分考虑其犯罪事实、犯罪情节、犯罪前后的表现等影响其量刑的因素，之后确定的刑罚并无不当。综上，原审判决认定的事实和适用法律正确，量刑适当。审判程序合法。依照《中华人民共和国刑事诉讼法》第二百三十六条第一款（一）项之规定，裁定如下：</w:t>
      </w:r>
    </w:p>
    <w:p>
      <w:pPr>
        <w:jc w:val="left"/>
      </w:pPr>
      <w:r>
        <w:t>驳回上诉，维持原判。</w:t>
      </w:r>
    </w:p>
    <w:p>
      <w:pPr>
        <w:jc w:val="left"/>
      </w:pPr>
      <w:r>
        <w:t>本裁定为终审裁定。</w:t>
      </w:r>
    </w:p>
    <w:p>
      <w:pPr>
        <w:jc w:val="left"/>
      </w:pPr>
      <w:r>
        <w:t>审判长　　王　芙</w:t>
      </w:r>
    </w:p>
    <w:p>
      <w:pPr>
        <w:jc w:val="left"/>
      </w:pPr>
      <w:r>
        <w:t>审判员　　于红滨</w:t>
      </w:r>
    </w:p>
    <w:p>
      <w:pPr>
        <w:jc w:val="left"/>
      </w:pPr>
      <w:r>
        <w:t>审判员　　张丽娟</w:t>
      </w:r>
    </w:p>
    <w:p>
      <w:pPr>
        <w:jc w:val="left"/>
      </w:pPr>
      <w:r>
        <w:t>二〇二三年一月十六日</w:t>
      </w:r>
    </w:p>
    <w:p>
      <w:pPr>
        <w:jc w:val="left"/>
      </w:pPr>
      <w:r>
        <w:t>代书记员　　姜　东</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