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河南省新乡市红旗区人民法院</w:t>
      </w:r>
    </w:p>
    <w:p>
      <w:pPr>
        <w:jc w:val="center"/>
      </w:pPr>
      <w:r>
        <w:t>刑 事 判 决 书</w:t>
      </w:r>
    </w:p>
    <w:p>
      <w:pPr>
        <w:jc w:val="right"/>
      </w:pPr>
      <w:r>
        <w:t>（2025）豫0702刑初197号</w:t>
      </w:r>
    </w:p>
    <w:p>
      <w:pPr>
        <w:jc w:val="left"/>
      </w:pPr>
      <w:r>
        <w:t>公诉机关新乡市红旗区人民检察院。</w:t>
      </w:r>
    </w:p>
    <w:p>
      <w:pPr>
        <w:jc w:val="left"/>
      </w:pPr>
      <w:r>
        <w:t>被告人李某甲，男，2001年1月12日出生，汉族，专科毕业，个体，户籍所在地河南省新乡市牧野区黄岗街，现住新乡市牧野区西华大道天福兰亭湾小区。因涉嫌犯掩饰、隐瞒犯罪所得、犯罪所得收益罪，于2023年8月9日、2024年5月8日、2025年5月7日分别被取保候审。</w:t>
      </w:r>
    </w:p>
    <w:p>
      <w:pPr>
        <w:jc w:val="left"/>
      </w:pPr>
      <w:r>
        <w:t>被告人李某乙，男，2001年6月12日出生，汉族，大学本科在读，马来西亚斯特雅大学金融系2019届学生，户籍所在地河南省新乡市红旗区金穗大道（中），住新乡市牧野区颐和名郡小区。因涉嫌犯掩饰、隐瞒犯罪所得、犯罪所得收益罪，于2023年5月9日、2024年5月8日、2025年5月7日分别被取保候审。</w:t>
      </w:r>
    </w:p>
    <w:p>
      <w:pPr>
        <w:jc w:val="left"/>
      </w:pPr>
      <w:r>
        <w:t>新乡市红旗区人民检察院以新红检刑诉〔2025〕160号起诉书指控被告人李某甲、李某乙犯帮助信息网络犯罪活动罪一案，于2025年5月6日向本院提起公诉。本院受理后，依法适用简易程序，实行独任审判，公开开庭审理了本案。新乡市红旗区人民检察院指派检察员郭淑玲出庭支持公诉。现已审理终结。</w:t>
      </w:r>
    </w:p>
    <w:p>
      <w:pPr>
        <w:jc w:val="left"/>
      </w:pPr>
      <w:r>
        <w:t>新乡市红旗区人民检察院指控：2023年3月初至5月初，被告人李某甲、李某乙伙同张某（另案处理）明知他人从事网络犯罪活动，仍在新乡市红旗区派克公馆，使用各自名下银行卡及同事李某丙名下的中国建设银行卡(尾号4160）开通数字人民币钱包业务，帮助流转电信网络犯罪资金4285907.72元，实际非法获利12000元。现查明，阳某、吴某、王某、郑某、黄某用于网络赌博、游戏充值被骗资金通过上述账户流转。</w:t>
      </w:r>
    </w:p>
    <w:p>
      <w:pPr>
        <w:jc w:val="left"/>
      </w:pPr>
      <w:r>
        <w:t>2023年8月9日,被告人李某甲主动到新乡市公安局红旗分局投案；2025年4月28日，李某甲、李某乙各退出违法所得6000元。</w:t>
      </w:r>
    </w:p>
    <w:p>
      <w:pPr>
        <w:jc w:val="left"/>
      </w:pPr>
      <w:r>
        <w:t>上述事实，公诉机关向本院提供了被告人李某甲、李某乙的照片、户籍证明、到案经过、银行账户交易明细及涉案信息等书证；证人张某、李某丙的证言；被告人李某甲、李某乙的供述与辩解；电子证据：光盘1张等证据予以证实。</w:t>
      </w:r>
    </w:p>
    <w:p>
      <w:pPr>
        <w:jc w:val="left"/>
      </w:pPr>
      <w:r>
        <w:t>公诉机关认为，被告人李某甲、李某乙明知他人利用信息网络实施犯罪，仍为其犯罪实施提供帮助，情节严重，应当以帮助信息网络犯罪活动罪追究其刑事责任。被告人李某甲、李某乙系共同犯罪，均起主要作用，系主犯，应按照其参与的全部犯罪处罚。被告人李某甲主动投案，如实供述自己的罪行，系自首，可以从轻或者减轻处罚。被告人李明阳到案后如实供述自己的罪行，系坦白，可以从轻处罚。被告人李某甲、李某乙均退出违法所得，可酌予从轻处罚。建议以帮助信息网络犯罪活动罪判处被告人李某甲、李某乙有期徒刑一年，缓刑一年六个月，并处罚金人民币一万元。</w:t>
      </w:r>
    </w:p>
    <w:p>
      <w:pPr>
        <w:jc w:val="left"/>
      </w:pPr>
      <w:r>
        <w:t>被告人李某甲、李某乙对指控的事实、罪名及量刑建议没有异议，同意适用简易程序，认罪认罚且签字具结，在开庭审理过程中亦无异议。</w:t>
      </w:r>
    </w:p>
    <w:p>
      <w:pPr>
        <w:jc w:val="left"/>
      </w:pPr>
      <w:r>
        <w:t>经审理查明的事实与公诉机关指控的事实一致。</w:t>
      </w:r>
    </w:p>
    <w:p>
      <w:pPr>
        <w:jc w:val="left"/>
      </w:pPr>
      <w:r>
        <w:t>本院认为，被告人李某甲、李某乙明知他人利用信息网络实施犯罪，仍为其提供支付结算帮助，情节严重，其行为已构成帮助信息网络犯罪活动罪。公诉机关指控的罪名成立，依法予以支持。李某甲、李某乙共同故意犯罪，系共同犯罪，李某甲、李某乙在共同犯罪中均起主要作用，均系主犯，应按照其参与的全部犯罪处罚。李某甲主动到案，并如实供述自己的罪行，系自首，可以从轻处罚。李某乙到案后如实供述自己的罪行，系坦白，可以从轻处罚。李某甲、李明阳认罪认罚，可以从宽处理。李某甲、李某乙退出全部违法所得，酌定从轻处罚。李某甲、李某乙经社区调查，具备社区矫正条件。依照《中华人民共和国刑法》第二百八十七条之二第一款、第二十五条第一款、第二十六条第一、四款、第六十七条第一、三款、第七十二条第一、三款、第七十三条第二、三款、第五十二条、第五十三条、第六十四条，《中华人民共和国刑事诉讼法》第十五条之规定，判决如下：</w:t>
      </w:r>
    </w:p>
    <w:p>
      <w:pPr>
        <w:jc w:val="left"/>
      </w:pPr>
      <w:r>
        <w:t>一、被告人李某甲犯帮助信息网络犯罪活动罪，判处有期徒刑一年，缓刑一年六个月，并处罚金人民币一万元。</w:t>
      </w:r>
    </w:p>
    <w:p>
      <w:pPr>
        <w:jc w:val="left"/>
      </w:pPr>
      <w:r>
        <w:t>（缓刑考验期限，从判决确定之日起计算。罚金已缴纳。）</w:t>
      </w:r>
    </w:p>
    <w:p>
      <w:pPr>
        <w:jc w:val="left"/>
      </w:pPr>
      <w:r>
        <w:t>二、被告人李某乙犯帮助信息网络犯罪活动罪，判处有期徒刑一年，缓刑一年六个月，并处罚金人民币一万元。</w:t>
      </w:r>
    </w:p>
    <w:p>
      <w:pPr>
        <w:jc w:val="left"/>
      </w:pPr>
      <w:r>
        <w:t>（缓刑考验期限，从判决确定之日起计算。罚金已缴纳。）</w:t>
      </w:r>
    </w:p>
    <w:p>
      <w:pPr>
        <w:jc w:val="left"/>
      </w:pPr>
      <w:r>
        <w:t>三、被告人李某甲、李某乙各退出的违法所得6000元，依法予以没收，由扣押机关新乡市公安局红旗分局上缴国库。</w:t>
      </w:r>
    </w:p>
    <w:p>
      <w:pPr>
        <w:jc w:val="left"/>
      </w:pPr>
      <w:r>
        <w:t>四、在案扣押的银色荣耀（KIW-ILOOH，IMEI：867922028695564）手机一部、玫红色vivoX23（IMEI：864619047568813）手机一部、黑色vivoY75A（IMEI:867769035259912）手机一部、玫红色vivoX21OOA（IMEI：869234039172973）手机一部、玫瑰金vivoX9（TMEI：864550035472728）手机一部、蓝色vivoX23（IMEI：869902042746393）手机一部、白色OPPOR15（IMEI：869755035720829）手机一部、蓝色vivoX23（IMEI：862766044236191）手机一部、玫瑰金vivoX9（IMEI：866042038919739）手机一部、浅蓝色vivoYSS（IMEI：869282045909797）手机一部，联想牌黑色微型机二台，均系作案工具，由扣押机关新乡市公安局红旗分局依法予以处置。</w:t>
      </w:r>
    </w:p>
    <w:p>
      <w:pPr>
        <w:jc w:val="left"/>
      </w:pPr>
      <w:r>
        <w:t>如不服本判决，可在接到判决书的第二日起十日内，通过本院或直接向河南省新乡市中级人民法院提出上诉。书面上诉的，应当提交上诉状正本一份，副本二份。</w:t>
      </w:r>
    </w:p>
    <w:p>
      <w:pPr>
        <w:jc w:val="left"/>
      </w:pPr>
      <w:r>
        <w:t>审判员　　高飞</w:t>
      </w:r>
    </w:p>
    <w:p>
      <w:pPr>
        <w:jc w:val="left"/>
      </w:pPr>
      <w:r>
        <w:t>二〇二五年五月二十三日</w:t>
      </w:r>
    </w:p>
    <w:p>
      <w:pPr>
        <w:jc w:val="left"/>
      </w:pPr>
      <w:r>
        <w:t>书记员　　赵歌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