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河南省光山县人民法院</w:t>
      </w:r>
    </w:p>
    <w:p>
      <w:pPr>
        <w:jc w:val="center"/>
      </w:pPr>
      <w:r>
        <w:t>刑 事 判 决 书</w:t>
      </w:r>
    </w:p>
    <w:p>
      <w:pPr>
        <w:jc w:val="right"/>
      </w:pPr>
      <w:r>
        <w:t>（2025）豫1522刑初82号</w:t>
      </w:r>
    </w:p>
    <w:p>
      <w:pPr>
        <w:jc w:val="left"/>
      </w:pPr>
      <w:r>
        <w:t>公诉机关光山县人民检察院。</w:t>
      </w:r>
    </w:p>
    <w:p>
      <w:pPr>
        <w:jc w:val="left"/>
      </w:pPr>
      <w:r>
        <w:t>被告人朱某，男，2003年4月22日出生，公民身份号码XXX，汉族，专科毕业，务工，户籍所在地河南省沁阳市，现住址同户籍所在地。因涉嫌掩饰、隐瞒犯罪所得罪，于2024年11月19日到案后被临时羁押于沁阳市看守所，2024年11月26日被光山县公安局刑事拘留，经光山县人民检察院批准，于2024年12月20日被光山县公安局执行逮捕。现羁押于光山县看守所。</w:t>
      </w:r>
    </w:p>
    <w:p>
      <w:pPr>
        <w:jc w:val="left"/>
      </w:pPr>
      <w:r>
        <w:t>辩护人程亚东，河南通冠律师事务所律师。</w:t>
      </w:r>
    </w:p>
    <w:p>
      <w:pPr>
        <w:jc w:val="left"/>
      </w:pPr>
      <w:r>
        <w:t>光山县人民检察院以光检刑诉〔2025〕36号起诉书指控被告人朱某犯掩饰、隐瞒犯罪所得罪，向本院提起公诉。本院于2025年2月17日受理后，依法组成合议庭，适用简易程序公开开庭审理了本案。光山县人民检察院指派检察官王栋出庭支持公诉，被告人朱某及其辩护人程亚东到庭参加诉讼。现已审理终结。</w:t>
      </w:r>
    </w:p>
    <w:p>
      <w:pPr>
        <w:jc w:val="left"/>
      </w:pPr>
      <w:r>
        <w:t>公诉机关指控：</w:t>
      </w:r>
    </w:p>
    <w:p>
      <w:pPr>
        <w:jc w:val="left"/>
      </w:pPr>
      <w:r>
        <w:t>2024年4月至5月，被告人朱某在明知赵某甲（已判刑）转移违法犯罪资金的情况下，仍使用自己名下的数字人民币钱包（编号：0071300014013989）和支付宝（账号：XXX）为赵某甲转账。朱某名下的数字人民币钱包涉及案件34起，转移外地居民王某乙、邓某、王某丙等34人被骗人民币63827元。</w:t>
      </w:r>
    </w:p>
    <w:p>
      <w:pPr>
        <w:jc w:val="left"/>
      </w:pPr>
      <w:r>
        <w:t>公诉机关提交了受案登记表、立案决定书、户籍信息、前科证明、到案经过、数字人民币钱包交易明细、谅解书、收到条等书证，被害人王某乙、邓某、王某丙等34人的陈述，被告人朱某及同案人赵某甲的供述和辩解等证据证实。</w:t>
      </w:r>
    </w:p>
    <w:p>
      <w:pPr>
        <w:jc w:val="left"/>
      </w:pPr>
      <w:r>
        <w:t>公诉机关认为，被告人朱某明知是犯罪所得，仍使用数字人民币钱包、支付宝等第三方支付结算账户帮助转账，其行为已触犯《中华人民共和国刑法》第三百一十二条之规定，犯罪事实清楚，证据确实、充分，应当以掩饰、隐瞒犯罪所得罪追究其刑事责任。朱某与他人共同实施故意犯罪，符合《中华人民共和国刑法》第二十五条之规定，是共同犯罪，在共同犯罪过程中，朱某起次要或辅助作用，符合《中华人民共和国刑法》第二十七条之规定，是从犯，应当从轻或减轻处罚。朱某到案后如实供述其主要犯罪事实，符合《中华人民共和国刑法》第六十七条第三款之规定，是坦白，可以从轻处罚。朱某自愿认罪认罚，依据《中华人民共和国刑事诉讼法》第十五条之规定，依法可以从宽处理。建议判处朱某有期徒刑九个月，并处罚金人民币5000元。</w:t>
      </w:r>
    </w:p>
    <w:p>
      <w:pPr>
        <w:jc w:val="left"/>
      </w:pPr>
      <w:r>
        <w:t>被告人朱某对指控事实、罪名及量刑建议没有异议，同意适用简易程序且签字具结，在开庭审理过程中亦无异议。</w:t>
      </w:r>
    </w:p>
    <w:p>
      <w:pPr>
        <w:jc w:val="left"/>
      </w:pPr>
      <w:r>
        <w:t>被告人朱某的辩护人提出的辩护意见是对公诉机关指控被告人朱某犯掩饰、隐瞒犯罪所得罪无异议，仅就量刑部分辩护：</w:t>
      </w:r>
    </w:p>
    <w:p>
      <w:pPr>
        <w:jc w:val="left"/>
      </w:pPr>
      <w:r>
        <w:t>第一loz朱某在与赵某甲的犯罪行为中，起次要作用，是从犯，应当对其从轻处罚。</w:t>
      </w:r>
    </w:p>
    <w:p>
      <w:pPr>
        <w:jc w:val="left"/>
      </w:pPr>
      <w:r>
        <w:t>第二，朱某主动到案，到案后如实供述了自己的全部罪行，依法应当认定为自首，对其从轻处罚。具体理由如下：根据《公安机关办理刑事案件程序规定》第二百零三条第一款规定：“侦查人员讯问犯罪嫌疑人时，应当首先讯问犯罪嫌疑人是否有犯罪行为，并告知犯罪嫌疑人享有的诉讼权利，如实供述自己罪行可以从宽处理以及认罪认罚的法律规定，让他陈述有罪的情节或者无罪的辩解，然后向他提出问题。”该规定第三百五十一条规定：“已被决定拘留、逮捕的犯罪嫌疑人在逃的，可以通过网上工作平台发布犯罪嫌疑人相关信息、拘留证或者逮捕证。各地公安机关发现网上逃犯的，应当立即组织抓捕。协作地公安机关抓获犯罪嫌疑人后，应当立即通知办案地公安机关。办案地公安机关应当立即携带法律文书及时提解，提解的侦查人员不得少于二人。办案地公安机关不能及时到达协作地的，应当委托协作地公安机关在拘留、逮捕后二十四小时以内进行讯问。”第三百五十二条规定：“办案地公安机关请求代为讯问、询问、辨认的，协作地公安机关应当制作讯问、询问、辨认笔录，交被讯问、询问人和辨认人签名、捺指印后，提供给办案地公安机关。办案地公安机关可以委托协作地公安机关协助进行远程视频讯问、询问，讯问、询问过程应当全程录音录像。”朱某于2024年11月19日下午接到其户籍所在地的沁阳市某民警电话配合调查，朱某称在沁阳市河内西路小虎牙网吧等待民警，随后，民警将朱某带到公安机关。朱某全程积极配合，到案后被采集指纹、虹膜等信息后即被羁押在沁阳市看守所，民警全程未讯问朱某任何关于本案的案情。光山县公安民警于2024年11月25日将朱某从沁阳市看守所带回光山县公安局讯问，朱某如实向公安机关供述了自己的全部违法犯罪经过。朱某在光山县公安局共有三次供述，第一次即供述了自己的全部犯罪事实经过，后两次讯问分别是被刑事拘留、逮捕时所作的关于权利告知方面的内容，有罪供述稳定。根据前述事实和法律规定，沁阳市公安局柏香派出所作为本案侦查协作地公安机关，在依法接受办案地公安机关即光山县公安局委托讯问的情况下，应当依法制作讯问笔录，但笔录内容除了查实朱某的身份信息，出示光山县公安局的刑事拘留证之外，未依法讯问案情。讯问笔录仅仅问了“你因何事被刑事拘留？”“你是否有违法行为？”未讯问任何案情。相信任何一个人被公安机关突然带走的情况下，除非自己明知犯了罪，否则，在没有提及案情的情况下自己都是懵的，并非朱某不认罪。故此，沁阳市公安局柏香派出所的讯问笔录讯问内容未按法律规定讯问，不能作为认定朱某在到案后是否及时如实供述自己主要犯罪事实的定案证据，而应当以朱某在办案地公安机关即光山县公安局的第一次讯问笔录作为是否及时如实供述自己的主要犯罪事实的依据。朱某在光山县公安局第一次被讯问时如实供述了自己的全部犯罪事实，依法，其行为属于自首，应当对其从轻处罚。</w:t>
      </w:r>
    </w:p>
    <w:p>
      <w:pPr>
        <w:jc w:val="left"/>
      </w:pPr>
      <w:r>
        <w:t>第三、朱某到案后自愿如实供述了自己的全部罪行，有罪供述稳定，在侦查阶段第一次被讯问时即表明了认罪认罚态度，并在审查起诉阶段签署了《认罪认罚具结书》，应当对其从轻处罚。</w:t>
      </w:r>
    </w:p>
    <w:p>
      <w:pPr>
        <w:jc w:val="left"/>
      </w:pPr>
      <w:r>
        <w:t>第四、朱某亲属积极退赔了六位受害人的经济损失，取得了六位受害人的谅解，且六位受害人均要求司法机关不予追究朱某的刑事责任，依法，应当对朱某从轻处罚。</w:t>
      </w:r>
    </w:p>
    <w:p>
      <w:pPr>
        <w:jc w:val="left"/>
      </w:pPr>
      <w:r>
        <w:t>第五、浩林积极主动退出了全部违法所得，并自愿缴纳了罚金，此前无违法犯罪前科，此次犯罪属于初犯、偶犯，可以对其从轻处罚。公诉机关对被告人朱某的量刑建议明显不当，请求法庭依法予以调减，并对朱某依法适用缓刑。朱某自2024年11月19日至2024年11月25日期间被羁押7天，应当计入朱某的刑期依法予以扣减。</w:t>
      </w:r>
    </w:p>
    <w:p>
      <w:pPr>
        <w:jc w:val="left"/>
      </w:pPr>
      <w:r>
        <w:t>经审理查明：2024年4月至5月，被告人朱某在明知赵某甲（另案处理）转移犯罪资金的情况下，仍使用自己名下的数字人民币钱包（编号：0071300014013989）和支付宝（账号：XXX）为赵某甲转账。被告人朱某名下的数字人民币钱包涉及案件34起，转移外地居民王某乙、邓某、王某丙等34人被骗人民币63827元。被告人朱某自述从中非法获利人民币700元。</w:t>
      </w:r>
    </w:p>
    <w:p>
      <w:pPr>
        <w:jc w:val="left"/>
      </w:pPr>
      <w:r>
        <w:t>另查明，被告人朱某的亲属于2024年12月1日代为赔偿被害人邓某损失人民币1200元；于2024年12月11日分别代为赔偿被害人王某丙、赵某乙、王某丁损失各人民币1000元；于2024年12月12日代为赔偿被害人刘某、王某戊损失各人民币1000元，取得了上述被害人对朱某的谅解。</w:t>
      </w:r>
    </w:p>
    <w:p>
      <w:pPr>
        <w:jc w:val="left"/>
      </w:pPr>
      <w:r>
        <w:t>还查明，被告人朱某的亲属在审判阶段代为缴纳罚金人民币5000元并退缴违法所得人民币700元。</w:t>
      </w:r>
    </w:p>
    <w:p>
      <w:pPr>
        <w:jc w:val="left"/>
      </w:pPr>
      <w:r>
        <w:t>本院认为，被告人朱某明知是犯罪所得，仍通过使用数字人民币钱包、支付宝等第三方支付结算账户帮助转账的方式转移犯罪所得，其行为已构成掩饰、隐瞒犯罪所得罪。公诉机关指控被告人犯罪事实清楚，证据确实、充分，指控罪名成立，本院予以支持。关于朱某的辩护人提出其系自首的辩护意见，公安机关电话通知朱某到案配合调查时并未告知其系因本案的犯罪事实，朱某亦未意识到公安机关通知其系因本案的犯罪事实，其虽在现场等待公安机关办案民警，但是其缺乏投案的主动性，其到案后亦未及时主动如实供述自己的犯罪事实，不应认定为自首，但是随后其在侦查阶段如实供述自己的罪行，依法可以认定为坦白，可以从轻处罚，故对该辩护意见，本院不予采纳。朱某同他人共同故意实施犯罪，系共同犯罪，其在共同犯罪中起次要作用，系从犯，应当从轻或减轻处罚。朱某自愿认罪认罚，可以从宽处理。朱某系初犯且其亲属代为缴纳罚金，退缴违法所得并积极赔偿部分被害人损失，取得了该部分被害人对朱某的谅解，均可酌情从轻处罚。故公诉人、辩护人基于上述理由提出对被告人从轻处罚的建议和意见，本院予以支持和采纳。综上，根据被告人犯罪的事实、性质、情节、社会的危害程度及悔罪表现，可对公诉机关的量刑建议适当调整，依照《中华人民共和国刑法》第三百一十二条、第二十五条、第二十七条、第六十七条第三款、第五十二条、第六十四条、第六十一条，《中华人民共和国刑事诉讼法》第十五条、第二百零一条之规定，判决如下：</w:t>
      </w:r>
    </w:p>
    <w:p>
      <w:pPr>
        <w:jc w:val="left"/>
      </w:pPr>
      <w:r>
        <w:t>一、被告人朱某犯掩饰、隐瞒犯罪所得罪，判处有期徒刑七个月，并处罚金人民币5000元（已缴纳）；</w:t>
      </w:r>
    </w:p>
    <w:p>
      <w:pPr>
        <w:jc w:val="left"/>
      </w:pPr>
      <w:r>
        <w:t>（刑期从判决执行之日起计算。判决执行以前先行羁押的，羁押一日，折抵刑期一日。即被告人朱某的刑期自2024年11月26日起至2025年6月18日止，原临时羁押7日已予以折抵刑期。）</w:t>
      </w:r>
    </w:p>
    <w:p>
      <w:pPr>
        <w:jc w:val="left"/>
      </w:pPr>
      <w:r>
        <w:t>二、被告人朱某已退缴的违法所得人民币700元，依法予以没收，上缴国库。</w:t>
      </w:r>
    </w:p>
    <w:p>
      <w:pPr>
        <w:jc w:val="left"/>
      </w:pPr>
      <w:r>
        <w:t>如不服本判决，可在接到判决书的第二日起十日内，通过本院或直接向河南省信阳市中级人民法院提出上诉。书面上诉的，应当提交上诉状正本一份，副本二份。</w:t>
      </w:r>
    </w:p>
    <w:p>
      <w:pPr>
        <w:jc w:val="left"/>
      </w:pPr>
      <w:r>
        <w:t>审　判　长　　刘　鉴</w:t>
      </w:r>
    </w:p>
    <w:p>
      <w:pPr>
        <w:jc w:val="left"/>
      </w:pPr>
      <w:r>
        <w:t>人民陪审员　　周德莲</w:t>
      </w:r>
    </w:p>
    <w:p>
      <w:pPr>
        <w:jc w:val="left"/>
      </w:pPr>
      <w:r>
        <w:t>人民陪审员　　龚定梅</w:t>
      </w:r>
    </w:p>
    <w:p>
      <w:pPr>
        <w:jc w:val="left"/>
      </w:pPr>
      <w:r>
        <w:t>二〇二五年三月六日</w:t>
      </w:r>
    </w:p>
    <w:p>
      <w:pPr>
        <w:jc w:val="left"/>
      </w:pPr>
      <w:r>
        <w:t>书　记　员　　李思佳</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