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湖北省仙桃市人民法院</w:t>
      </w:r>
    </w:p>
    <w:p>
      <w:pPr>
        <w:jc w:val="center"/>
      </w:pPr>
      <w:r>
        <w:t>刑 事 判 决 书</w:t>
      </w:r>
    </w:p>
    <w:p>
      <w:pPr>
        <w:jc w:val="right"/>
      </w:pPr>
      <w:r>
        <w:t>（2025）鄂9004刑初1号</w:t>
      </w:r>
    </w:p>
    <w:p>
      <w:pPr>
        <w:jc w:val="left"/>
      </w:pPr>
      <w:r>
        <w:t>公诉机关仙桃市人民检察院。</w:t>
      </w:r>
    </w:p>
    <w:p>
      <w:pPr>
        <w:jc w:val="left"/>
      </w:pPr>
      <w:r>
        <w:t>被告人付某亮，男，1996年4月4日出生于贵州省正安县，汉族，初中文化，无职业，住贵州省遵义市正安县。因涉嫌犯掩饰、隐瞒犯罪所得罪，于2023年12月6日被羁押，次日被仙桃市公安局刑事拘留，同月22日仙桃市公安局取保候审。2024年10月21日经仙桃市人民检察院取保候审。2025年1月2日经本院决定逮捕，同月9日被执行逮捕，现羁押于仙桃市看守所。</w:t>
      </w:r>
    </w:p>
    <w:p>
      <w:pPr>
        <w:jc w:val="left"/>
      </w:pPr>
      <w:r>
        <w:t>被告人周某羽，女，1998年7月14日出生于贵州省思南县，汉族，初中文化，住贵州省铜仁市思南县。因涉嫌犯掩饰、隐瞒犯罪所得罪，于2023年12月6日被羁押，次日被仙桃市公安局刑事拘留，同月22日仙桃市公安局取保候审。2024年10月21日经仙桃市人民检察院取保候审。2025年1月2日经本院决定取保候审。</w:t>
      </w:r>
    </w:p>
    <w:p>
      <w:pPr>
        <w:jc w:val="left"/>
      </w:pPr>
      <w:r>
        <w:t>仙桃市人民检察院以鄂仙检刑诉〔2024〕970号起诉书指控被告人付某亮、周某羽犯掩饰、隐瞒犯罪所得罪，向本院提起公诉。本院于2025年1月2日受理后，依法适用简易程序，实行独任审判，公开开庭审理了本案。仙桃市人民检察院指派检察员武蓉出庭支持公诉。被告人付某亮、周某羽到庭参加诉讼。现已审理终结。</w:t>
      </w:r>
    </w:p>
    <w:p>
      <w:pPr>
        <w:jc w:val="left"/>
      </w:pPr>
      <w:r>
        <w:t>公诉机关指控，2023年2月份，被告人付某亮在贵州省遵义市结识一陌生男子“阿某”。同年8月份，“阿某”推荐付某亮在“纸飞机”软件上添加“小逸”为好友，“小逸”指使付某亮和被告人周某羽前往浙江以购买黄金后低价售出的方式掩饰、隐瞒犯罪所得，付某亮、周某羽收取黄金购买价的8%作为好处费，二人应允。同月28日、29日，付某亮、周某羽来到浙江省某某店，周某羽将店员提供的账户名为徐某娟的数字人民币账户发给“小逸”，“小逸”向该账户共计打款19万余元，付某亮购得相应价格的金条后，于当日将金条全部低价售出。同月29日19时许，湖北省仙桃市市民吴某某（未成年人）被人以添加偶像明星ＱＱ后实施网络诈骗，吴某某使用其母亲曾某单的手机银行向徐某娟的数字人民币账户共计转款2万元，上述钱款被付某亮、周某羽用来购买黄金予以转移。</w:t>
      </w:r>
    </w:p>
    <w:p>
      <w:pPr>
        <w:jc w:val="left"/>
      </w:pPr>
      <w:r>
        <w:t>2023年12月4日，监利市公安局民警协助仙桃市公安局民警依法传唤被告人付某亮、周某羽，同月6日，二名被告人到监利市公安局接受调查。案发后，付某亮、周某羽退赔曾某单2万元。</w:t>
      </w:r>
    </w:p>
    <w:p>
      <w:pPr>
        <w:jc w:val="left"/>
      </w:pPr>
      <w:r>
        <w:t>公诉机关认为，被告人付某亮、周某羽明知是犯罪所得而予以转移，应当以掩饰、隐瞒犯罪所得罪追究被告人付某亮、周某羽的刑事责任。被告人付某亮、周某羽自愿认罪认罚，依法可以从宽处理。建议判处被告人付某亮、周某羽拘役四个月，并处罚金。公诉机关提交了受案登记表、接处警工作登记表、立案决定书，到案经过、办案说明，银行提醒短信及聊天记录截图，银行卡交易明细单，首饰销售明细单，收条，户籍信息等书证；证人曹某媛、刘某婷、方某媛、徐某娟、曾某单的证言；被告人付某亮、周某羽的供述与辩解；辨认笔录；电子卷宗、视听资料等证据证实。</w:t>
      </w:r>
    </w:p>
    <w:p>
      <w:pPr>
        <w:jc w:val="left"/>
      </w:pPr>
      <w:r>
        <w:t>被告人付某亮、周某羽对指控事实、罪名及量刑建议均没有异议，同意适用简易程序审理，且签字具结，在开庭审理过程中亦无异议。</w:t>
      </w:r>
    </w:p>
    <w:p>
      <w:pPr>
        <w:jc w:val="left"/>
      </w:pPr>
      <w:r>
        <w:t>经审理查明的事实、证据与公诉机关的指控一致。另查明，2023年8月28日，被告人付某亮、周某羽将购买的黄金售出后获利三千余元，次日，二人以同样的方式获利七千余元，共计获利一万余元。</w:t>
      </w:r>
    </w:p>
    <w:p>
      <w:pPr>
        <w:jc w:val="left"/>
      </w:pPr>
      <w:r>
        <w:t>还查明，贵州省思南县司法局向本院出具调查评估意见书，同意接收周某羽为社区矫正对象。</w:t>
      </w:r>
    </w:p>
    <w:p>
      <w:pPr>
        <w:jc w:val="left"/>
      </w:pPr>
      <w:r>
        <w:t>本院认为，被告人付某亮、周某羽明知是犯罪所得而予以转移，其行为均构成掩饰、隐瞒犯罪所得罪。公诉机关的指控成立。本案系共同犯罪。被告人付某亮、周某羽主动到案后如实供述自己的罪行，系自首，且自愿认罪认罚、积极退赃，依法从轻处罚。综合考虑被告人周某羽的犯罪情节、悔罪表现及社会危险性，可对其宣告缓刑。依照《中华人民共和国刑法》第三百一十二条第一款，第二十五条第一款，第六十七条第一款，第七十二条第一款、第三款，第七十三条第一款、第三款；《最高人民法院关于审理掩饰、隐瞒犯罪所得、犯罪所得收益刑事案件适用法律若干问题的解释》第一条及《中华人民共和国刑事诉讼法》第二百零一条之规定，判决如下：</w:t>
      </w:r>
    </w:p>
    <w:p>
      <w:pPr>
        <w:jc w:val="left"/>
      </w:pPr>
      <w:r>
        <w:t>一、被告人付某亮犯掩饰、隐瞒犯罪所得罪，判处拘役四个月，并处罚金人民币三千元（刑期从判决执行之日起计算。判决执行以前先行羁押的，羁押一日折抵刑期一日，折抵17日。即自2025年1月9日起至2025年4月21日止。罚金自判决发生法律效力的第二日起一个月内向本院缴纳）。</w:t>
      </w:r>
    </w:p>
    <w:p>
      <w:pPr>
        <w:jc w:val="left"/>
      </w:pPr>
      <w:r>
        <w:t>二、被告人周某羽犯掩饰、隐瞒犯罪所得罪，判处拘役四个月，缓刑八个月，并处罚金人民币三千元（缓刑考验期限，从判决确定之日起计算。罚金已预缴）。</w:t>
      </w:r>
    </w:p>
    <w:p>
      <w:pPr>
        <w:jc w:val="left"/>
      </w:pPr>
      <w:r>
        <w:t>三、追缴被告人付某亮、周某羽的违法所得10000元，上缴国库。</w:t>
      </w:r>
    </w:p>
    <w:p>
      <w:pPr>
        <w:jc w:val="left"/>
      </w:pPr>
      <w:r>
        <w:t>如不服本判决，可在接到判决书的第二日起十日内，通过本院或者直接向湖北省汉江中级人民法院提出上诉。书面上诉的，应当提交上诉状正本一份，副本二份。</w:t>
      </w:r>
    </w:p>
    <w:p>
      <w:pPr>
        <w:jc w:val="left"/>
      </w:pPr>
      <w:r>
        <w:t>审判员　　崔兆伟</w:t>
      </w:r>
    </w:p>
    <w:p>
      <w:pPr>
        <w:jc w:val="left"/>
      </w:pPr>
      <w:r>
        <w:t>二〇二五年一月十七日</w:t>
      </w:r>
    </w:p>
    <w:p>
      <w:pPr>
        <w:jc w:val="left"/>
      </w:pPr>
      <w:r>
        <w:t>书记员　　任静会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