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t>广东省梅州市梅江区人民法院</w:t>
      </w:r>
    </w:p>
    <w:p>
      <w:pPr>
        <w:jc w:val="center"/>
      </w:pPr>
      <w:r>
        <w:t>刑事判决书</w:t>
      </w:r>
    </w:p>
    <w:p>
      <w:pPr>
        <w:jc w:val="right"/>
      </w:pPr>
      <w:r>
        <w:t>（2024）粤1402刑初241号</w:t>
      </w:r>
    </w:p>
    <w:p>
      <w:pPr>
        <w:jc w:val="left"/>
      </w:pPr>
      <w:r>
        <w:t>公诉机关广东省梅州市梅江区人民检察院。</w:t>
      </w:r>
    </w:p>
    <w:p>
      <w:pPr>
        <w:jc w:val="left"/>
      </w:pPr>
      <w:r>
        <w:t>被告人王某，1998年6月19日出生，汉族，初中文化，厨师，户籍所在地广东省梅州市梅县区，住广东省梅州市梅江区。因涉嫌掩饰、隐瞒犯罪所得罪，于2023年7月19日被梅州市公安局梅江分局取保候审，2024年7月17日经梅州市梅江区人民检察院决定，同日由梅州市公安局梅江分局执行取保候审。2024年8月19日被本院决定取保候审。</w:t>
      </w:r>
    </w:p>
    <w:p>
      <w:pPr>
        <w:jc w:val="left"/>
      </w:pPr>
      <w:r>
        <w:t>梅州市梅江区人民检察院以梅区检刑诉〔2024〕188号起诉书指控被告人王某犯掩饰、隐瞒犯罪所得罪。本院于2024年8月19日立案受理后，适用简易程序，实行独任审判，公开开庭审理了本案。梅州市梅江区人民检察院检察员彭思云出庭支持公诉，被告人王某到庭参加了诉讼。本案现已审理终结。</w:t>
      </w:r>
    </w:p>
    <w:p>
      <w:pPr>
        <w:jc w:val="left"/>
      </w:pPr>
      <w:r>
        <w:t>公诉机关指控，2023年5月26日，被告人王某明知“滨哥”（身份待查清）等人借用银行卡用于违法犯罪活动的情况下，仍将自己名下的交通银行卡（卡号6222********）出借给“滨哥”等人用于从事转移违法犯罪所得的资金，并配合提供刷脸验证服务，以及协助“滨哥”等人予以取现。经查，王某提供的银行卡在出借期间共接收资金人民币260577元，取现或转移资金人民币260587元，其中接收李某娜、伏某平两人的被诈骗款共计人民币70800元，王某从中获利人民币3000元。</w:t>
      </w:r>
    </w:p>
    <w:p>
      <w:pPr>
        <w:jc w:val="left"/>
      </w:pPr>
      <w:r>
        <w:t>2024年7月19日，被告人王某经民警电话通知，主动到梅州市公安局梅江分局西阳派出所投案。</w:t>
      </w:r>
    </w:p>
    <w:p>
      <w:pPr>
        <w:jc w:val="left"/>
      </w:pPr>
      <w:r>
        <w:t>公诉机关认为，被告人王某明知是他人犯罪所得而帮助予以转移，其行为已触犯《中华人民共和国刑法》第三百一十二条之规定，犯罪事实清楚，证据确实、充分，应当以掩饰、隐瞒犯罪所得罪追究其刑事责任。被告人王某系从犯，根据《中华人民共和国刑法》第二十七条的规定，应当从轻或减轻处罚。被告人王某具有自首情节，根据《中华人民共和国刑法》第六十七条第一款的规定，可以从轻或者减轻处罚。被告人王某自愿认罪认罚，依据《中华人民共和国刑事诉讼法》第十五条的规定，可以从宽处理。建议判处被告人王某有期徒刑10个月，并处罚金，如退出违法所得及积极缴纳罚金，可适用缓刑。公诉机关提交了扣押决定书、扣押清单、银行交易流水、到案经过等书证；证人李某娜、伏某佳的证言；被告人王某的供述和辩解；物证被扣押的银行卡；情况说明、涉案相关账户开户情况及交易流水等证据证实。现提请法院依法判处。</w:t>
      </w:r>
    </w:p>
    <w:p>
      <w:pPr>
        <w:jc w:val="left"/>
      </w:pPr>
      <w:r>
        <w:t>被告人王某对指控的罪名、犯罪事实及量刑建议无异议，认罪认罚且签字具结，在开庭审理过程中亦无异议。</w:t>
      </w:r>
    </w:p>
    <w:p>
      <w:pPr>
        <w:jc w:val="left"/>
      </w:pPr>
      <w:r>
        <w:t>经审理查明的事实和证据与公诉机关的指控一致。另查明关于涉案被诈骗款的去向：被害人伏某平被诈骗的钱款20800元转入被告人王某的交通银行尾号7393的银行卡内后，该卡随即转账20796元给亿达建材商行。被害人李某娜被诈骗的钱款50000元转入被告人王某的交通银行尾号7393的银行卡内后，卡内余额共计99889.15元，该卡随即取现4笔共计人民币20000元，转账至被告人王某尾号3668、4668、3105的数字人民币账户各20000元，转账至尾号6667的数字人民币账户19889元。上述转账随即均转入尾号4649的数字人民币（中国工商银行惠州分行）账户内，又从该4649的数字人民币账户转出至尾号1997的中国工商银行数字人民币账户内。公安机关出具《情况说明》：中国工商银行梅州分行仅能调取尾号4649数字人民币账户的部分交易流水，且信息缺失。</w:t>
      </w:r>
    </w:p>
    <w:p>
      <w:pPr>
        <w:jc w:val="left"/>
      </w:pPr>
      <w:r>
        <w:t>再查明，被告人王某在本案审理阶段主动退出了犯罪所得人民币3000元。</w:t>
      </w:r>
    </w:p>
    <w:p>
      <w:pPr>
        <w:jc w:val="left"/>
      </w:pPr>
      <w:r>
        <w:t>本院认为，被告人王某构成掩饰、隐瞒犯罪所得罪，公诉机关的指控成立。被告人王某经公安机关电话传唤后到案，归案后如实供述犯罪事实，具有自首情节，且自愿认罪认罚，本院其予以从轻处罚。被告人王某系初犯，在审判阶段自愿退赃并愿意积极缴纳罚金，确有悔罪表现,结合本案犯罪情节，本院对其酌情从轻处罚并依法适用缓刑。公诉机关的量刑建议适当，本院予以采纳。</w:t>
      </w:r>
    </w:p>
    <w:p>
      <w:pPr>
        <w:jc w:val="left"/>
      </w:pPr>
      <w:r>
        <w:t>根据本案的犯罪事实、性质、情节、社会危害程度，依照《中华人民共和国刑法》第三百一十二条第一款、第六十七条第一款、第五十二条、第五十三条、第六十四条、第七十二条、第七十三条及《最高人民法院关于审理掩饰、隐瞒犯罪所得、犯罪所得收益刑事案件适用法律若干问题的解释》第一条之规定，判决如下：</w:t>
      </w:r>
    </w:p>
    <w:p>
      <w:pPr>
        <w:jc w:val="left"/>
      </w:pPr>
      <w:r>
        <w:t>一、被告人王某犯掩饰、隐瞒犯罪所得罪，判处有期徒刑十个月，缓刑一年六个月，并处罚金人民币3千元。</w:t>
      </w:r>
    </w:p>
    <w:p>
      <w:pPr>
        <w:jc w:val="left"/>
      </w:pPr>
      <w:r>
        <w:t>（缓刑考验期从判决确定之日起计算，罚金已缴纳。）</w:t>
      </w:r>
    </w:p>
    <w:p>
      <w:pPr>
        <w:jc w:val="left"/>
      </w:pPr>
      <w:r>
        <w:t>被告人退出犯罪所得人民币3000元，予以没收，上缴国库。</w:t>
      </w:r>
    </w:p>
    <w:p>
      <w:pPr>
        <w:jc w:val="left"/>
      </w:pPr>
      <w:r>
        <w:t>三、随案移送的作案工具银行卡一张（交通银行卡、卡号：6222********），予以没收销毁。</w:t>
      </w:r>
    </w:p>
    <w:p>
      <w:pPr>
        <w:jc w:val="left"/>
      </w:pPr>
      <w:r>
        <w:t>如不服本判决，可在接到判决书的第二日起十日内，通过本院或直接向广东省梅州市中级人民法院提出上诉。书面上诉的，应交上诉状正本一份，副本三份。</w:t>
      </w:r>
    </w:p>
    <w:p>
      <w:pPr>
        <w:jc w:val="left"/>
      </w:pPr>
      <w:r>
        <w:t>审判员滕婷</w:t>
      </w:r>
    </w:p>
    <w:p>
      <w:pPr>
        <w:jc w:val="left"/>
      </w:pPr>
      <w:r>
        <w:t>二〇二四年九月二十六日</w:t>
      </w:r>
    </w:p>
    <w:p>
      <w:pPr>
        <w:jc w:val="left"/>
      </w:pPr>
      <w:r>
        <w:t>书记员丘炜佳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