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江西省余干县人民法院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（2024）赣1127刑初526号</w:t>
      </w:r>
    </w:p>
    <w:p>
      <w:pPr>
        <w:jc w:val="left"/>
      </w:pPr>
      <w:r>
        <w:t>公诉机关江西省余干县人民检察院。</w:t>
      </w:r>
    </w:p>
    <w:p>
      <w:pPr>
        <w:jc w:val="left"/>
      </w:pPr>
      <w:r>
        <w:t>被告人郑某华，男，1985年9月7日出生，汉族，初中文化，无业，户籍所在地江西省上饶市余干县，住余干县。2008年4月28日，因犯盗窃罪被福州市台江区人民法院判处有期徒刑二年六个月，并处罚金人民币三千元；2020年10月23日，因犯开设赌场罪被余干县人民法院判处有期徒刑三年二个月，并处罚金人民币二万元；因涉嫌掩饰隐瞒犯罪所得罪于2024年7月3日被余干县公安局刑事拘留，同年7月10日被余干县人民检察院批准逮捕，次日被余干县公安局执行逮捕。现羁押于余干县看守所。</w:t>
      </w:r>
    </w:p>
    <w:p>
      <w:pPr>
        <w:jc w:val="left"/>
      </w:pPr>
      <w:r>
        <w:t>江西省余干县人民检察院以余检刑诉〔2024〕466号起诉书指控被告人郑某华犯掩饰、隐瞒犯罪所得罪，于2024年9月19日向本院提起公诉。本院受案审查后，依法组成合议庭，于2024年9月26日公开开庭审理了本案。余干县人民检察院指派检察员陈某文出庭支持公诉，被告人郑某华到庭参加诉讼。现已审理终结。</w:t>
      </w:r>
    </w:p>
    <w:p>
      <w:pPr>
        <w:jc w:val="left"/>
      </w:pPr>
      <w:r>
        <w:t>公诉机关指控，2024年6月份，被告人郑某华通过微信与一陌生人聊天商议，郑某华提供银行卡给对方使用，对方支付人民币1000元到2000元的好处费。2024年6月22日，被告人郑某华按照约定，同对方在福州市台江区闽富时代广场见面，之后两名男子打网约车把郑某华带到一茶座包间，郑某华将自己的中国银行卡（卡号6217********）和手机交给该两名陌生男子操作。在操作银行卡过程中，被告人郑某华一直待在该茶座包间内，下载数字人民币ＡＰＰ需要实名认证时，郑某华进行了刷脸，之后需要支付密码时又多次提供密码服务，一直操作了二个小时左右才结束，对方在其银行卡里留了1200元钱，作为郑某华提供银行卡的好处费，郑某华把钱提现到微信之后，就离开了。</w:t>
      </w:r>
    </w:p>
    <w:p>
      <w:pPr>
        <w:jc w:val="left"/>
      </w:pPr>
      <w:r>
        <w:t>2024年6月22日11时29分至12时30分，被告人郑某华的中国银行卡（卡号6217********）进账流水48760元，关联到秦某康、鲁某等被骗案，被骗资金36200元。</w:t>
      </w:r>
    </w:p>
    <w:p>
      <w:pPr>
        <w:jc w:val="left"/>
      </w:pPr>
      <w:r>
        <w:t>2024年7月3日，被告人郑某华主动到余干县公安局投案，如实供述了犯罪事实。</w:t>
      </w:r>
    </w:p>
    <w:p>
      <w:pPr>
        <w:jc w:val="left"/>
      </w:pPr>
      <w:r>
        <w:t>为证明上述事实，公诉机关提交了常住人口登记表及前科证明、到案情况说明、受案登记表、立案决定书、微信支付交易明细、出行记录、银行流水、扣押清单、刑事判决书等书证，证人秦某康、鲁某的证言，被告人郑某华的供述与辩解等证据证实。公诉机关认为被告人郑某华知是犯罪所得，仍提供银行卡帮助他人接受资金，并提供密码、刷脸服务，其行为触犯了《中华人民共和国刑法》第三百一十二条第一款之规定，犯罪事实清楚，证据确实、充分，应当以掩饰、隐瞒犯罪所得罪追究其刑事责任。同时，被告人郑某华具有《中华人民共和国刑法》第二十五条第一款、第二十七条、第六十五条第一款、第六十七条第一款规定的情节。被告人郑某华认罪认罚，依据《中华人民共和国刑事诉讼法》第十五条的规定，可以从宽处理。建议判处被告人郑某华有期徒刑八个月，并处罚金人民币五千元。</w:t>
      </w:r>
    </w:p>
    <w:p>
      <w:pPr>
        <w:jc w:val="left"/>
      </w:pPr>
      <w:r>
        <w:t>被告人郑某华对指控事实、罪名及量刑建议均无异议，同意适用简易程序，且签字具结，在开庭审理过程中亦无异议。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另查明，被告人郑某华家属退缴了违法所得人民币1200元，并缴纳罚金5000元。</w:t>
      </w:r>
    </w:p>
    <w:p>
      <w:pPr>
        <w:jc w:val="left"/>
      </w:pPr>
      <w:r>
        <w:t>本院认为，被告人郑某华构成掩饰、隐瞒犯罪所得罪。公诉机关的指控成立。本案系共同犯罪。被告人在共同犯罪中起次要作用，系从犯，依法应从轻、减轻处罚；被告人主动到案并如实供述所犯罪行，系自首，依法可从轻、减轻处罚；自愿认罪认罚，依法可从宽处理；主动退缴违法所得，可酌情从轻处罚；被告人因犯开设赌场罪被判处有期徒刑以上刑罚，刑罚执行完毕后五年内再犯应当判处有期徒刑以上刑罚之本罪，属累犯，依法应从重处罚。公诉机关的量刑建议虽无明显不当，但因审判阶段存有退赃之新的量刑情节，故依法宜以调整。根据被告人郑某华的犯罪事实、性质、情节和对社会的危害程度，依照《中华人民共和国刑法》第三百一十二条第一款、第二十五条第一款、第二十七条、第六十五条第一款、第五十二条、第五十三条、第六十四条、第六十七条第一款和《中华人民共和国刑事诉讼法》第十五条、第二百零一条之规定，判决如下：</w:t>
      </w:r>
    </w:p>
    <w:p>
      <w:pPr>
        <w:jc w:val="left"/>
      </w:pPr>
      <w:r>
        <w:t>一、被告人郑某华犯掩饰、隐瞒犯罪所得罪，判处有期徒刑七个月，并处罚金人民币五千元。</w:t>
      </w:r>
    </w:p>
    <w:p>
      <w:pPr>
        <w:jc w:val="left"/>
      </w:pPr>
      <w:r>
        <w:t>（刑期自判决执行之日起计算。判决执行前先行羁押的，羁押一日折抵刑期一日，即自2024年7月3日起至2025年2月2日止。罚金已缴纳。）</w:t>
      </w:r>
    </w:p>
    <w:p>
      <w:pPr>
        <w:jc w:val="left"/>
      </w:pPr>
      <w:r>
        <w:t>二、被告人郑某华退缴的违法所得人民币1200元，予以没收，上缴国库。</w:t>
      </w:r>
    </w:p>
    <w:p>
      <w:pPr>
        <w:jc w:val="left"/>
      </w:pPr>
      <w:r>
        <w:t>三、公安机关扣押在案供被告人犯罪所用的OPPO手机一部，予以没收。</w:t>
      </w:r>
    </w:p>
    <w:p>
      <w:pPr>
        <w:jc w:val="left"/>
      </w:pPr>
      <w:r>
        <w:t>如不服本判决，可在接到判决书的第二日起十日内，通过本院或直接向上饶市中级人民法院提出上诉。书面上诉的，应当提交上诉状正本一份，副本二份。</w:t>
      </w:r>
    </w:p>
    <w:p>
      <w:pPr>
        <w:jc w:val="left"/>
      </w:pPr>
      <w:r>
        <w:t>审　判　长　　万胜凡</w:t>
      </w:r>
    </w:p>
    <w:p>
      <w:pPr>
        <w:jc w:val="left"/>
      </w:pPr>
      <w:r>
        <w:t>人民陪审员　　万小谦</w:t>
      </w:r>
    </w:p>
    <w:p>
      <w:pPr>
        <w:jc w:val="left"/>
      </w:pPr>
      <w:r>
        <w:t>人民陪审员　　甘绍祝</w:t>
      </w:r>
    </w:p>
    <w:p>
      <w:pPr>
        <w:jc w:val="left"/>
      </w:pPr>
      <w:r>
        <w:t>二〇二四年九月二十七日</w:t>
      </w:r>
    </w:p>
    <w:p>
      <w:pPr>
        <w:jc w:val="left"/>
      </w:pPr>
      <w:r>
        <w:t>书　记　员　　吕伟豪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