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贵州省贵阳市南明区人民法院</w:t>
      </w:r>
    </w:p>
    <w:p>
      <w:pPr>
        <w:jc w:val="center"/>
      </w:pPr>
      <w:r>
        <w:t>刑事判决书</w:t>
      </w:r>
    </w:p>
    <w:p>
      <w:pPr>
        <w:jc w:val="right"/>
      </w:pPr>
      <w:r>
        <w:t>（2024）黔0102刑初1054号</w:t>
      </w:r>
    </w:p>
    <w:p>
      <w:pPr>
        <w:jc w:val="left"/>
      </w:pPr>
      <w:r>
        <w:t>公诉机关贵阳市南明区人民检察院。</w:t>
      </w:r>
    </w:p>
    <w:p>
      <w:pPr>
        <w:jc w:val="left"/>
      </w:pPr>
      <w:r>
        <w:t>被告人刘某勇，男性，1989年2月10日出生，汉族，小学文化，无业，户籍所在地四川省内江市东兴区，住四川省成都市成华区。2019年1月25日因犯妨害公务罪被内江市东兴区人民法院判处有期徒刑七个月，缓刑一年，2020年2月2日解除社区矫正。2023年4月23日至2023年4月25日临时寄押于四川省内江市看守所，2023年4月25日因涉嫌犯有帮助信息网络犯罪活动罪被贵阳市公安局南明分局刑事拘留，2023年5月25日被取保候审，2024年5月13日经贵阳市南明区人民检察院决定对其取保候审。2024年6月27日经本院决定继续对其取保候审。</w:t>
      </w:r>
    </w:p>
    <w:p>
      <w:pPr>
        <w:jc w:val="left"/>
      </w:pPr>
      <w:r>
        <w:t>委托辩护人何亭，重庆志和智律师事务所律师。</w:t>
      </w:r>
    </w:p>
    <w:p>
      <w:pPr>
        <w:jc w:val="left"/>
      </w:pPr>
      <w:r>
        <w:t>贵阳市南明区人民检察院以南检刑诉（2024）816号起诉书指控被告人刘某勇犯掩饰、隐瞒犯罪所得罪，向本院提起公诉。本院于2024年6月27日受理后，依法适用简易程序公开开庭审理了本案。贵阳市南明区人民检察院指派检察员罗匡出庭支持公诉。被告人刘某勇及其委托辩护人何亭到庭参加诉讼。现已审理终结。</w:t>
      </w:r>
    </w:p>
    <w:p>
      <w:pPr>
        <w:jc w:val="left"/>
      </w:pPr>
      <w:r>
        <w:t>公诉机关指控：2023年4月6日，被告人刘某勇明知他人利用网络实施犯罪，从四川内江前往四川成都，将自己名下的一张中国建设银行卡（尾号1213）提供给他人转账，其在现场等待并有配合刷脸行为。经查，该卡关联诈骗案件一起，涉案金额为205207元。刘某勇因此获利500元。</w:t>
      </w:r>
    </w:p>
    <w:p>
      <w:pPr>
        <w:jc w:val="left"/>
      </w:pPr>
      <w:r>
        <w:t>为证实上述指控，公诉机关提交了以下证据：1.书证：抓获经过、羁押证明、情况说明、前科情况、户籍信息、银行卡流水、数字人民币截图等；2.证人欧某雪的证人证言；3.被告人刘某勇的供述与辩解等。</w:t>
      </w:r>
    </w:p>
    <w:p>
      <w:pPr>
        <w:jc w:val="left"/>
      </w:pPr>
      <w:r>
        <w:t>公诉机关认为，被告人刘某勇明知他人利用信息网络实施犯罪，将银行卡提供给他人使用，在现场等待并帮助进行刷脸认证，配合他人转移违法所得205207元。其行为已触犯《中华人民共和国刑法》第三百一十二条之规定，应当以掩饰、隐瞒犯罪所得罪追究其刑事责任。被告人刘某勇到案后如实供述自己的罪行，是坦白，可以从轻处罚。其系从犯，应当从轻、减轻处罚。庭审中，被告人当庭表示认罪认罚，公诉机关建议对被告人刘某勇判处有期徒刑一年八个月至二年，并处罚金人民币三千元。</w:t>
      </w:r>
    </w:p>
    <w:p>
      <w:pPr>
        <w:jc w:val="left"/>
      </w:pPr>
      <w:r>
        <w:t>被告人刘某勇对公诉机关指控的犯罪事实、罪名、量刑情节及量刑建议均无异议，在开庭审理过程中亦无异议，当庭认罪认罚。</w:t>
      </w:r>
    </w:p>
    <w:p>
      <w:pPr>
        <w:jc w:val="left"/>
      </w:pPr>
      <w:r>
        <w:t>其辩护人提出：被告人自愿认罪认罚，且悔罪态度良好；具有自首情节；到案后如实供述自己的犯罪行为，具有坦白情节，请法庭对其从轻或者减轻处罚免除其罚金并适用缓刑。</w:t>
      </w:r>
    </w:p>
    <w:p>
      <w:pPr>
        <w:jc w:val="left"/>
      </w:pPr>
      <w:r>
        <w:t>经审理查明的事实、证据与公诉机关的指控一致。</w:t>
      </w:r>
    </w:p>
    <w:p>
      <w:pPr>
        <w:jc w:val="left"/>
      </w:pPr>
      <w:r>
        <w:t>另查明，2023年4月6日被告人刘某勇名下涉案的中国建设银行卡（卡号：6217********）进账577759元，出账577616.9元，关联贵阳市南明区欧某雪被诈骗案，涉诈资金共计205207元。</w:t>
      </w:r>
    </w:p>
    <w:p>
      <w:pPr>
        <w:jc w:val="left"/>
      </w:pPr>
      <w:r>
        <w:t>同时查明，2023年4月23日公安机关在内江市东兴区田家镇天延村公路旁将被告人刘某勇抓获。2023年4月23日至2023年4月25日临时羁押于四川省内江市看守所，2023年4月25日被刑事拘留，2023年5月25日被取保候审，期间应折抵刑期33日。</w:t>
      </w:r>
    </w:p>
    <w:p>
      <w:pPr>
        <w:jc w:val="left"/>
      </w:pPr>
      <w:r>
        <w:t>关于辩护人提出被告人构成坦白、认罪认罚的辩护意见，经查属实，本院予以采纳；关于辩护人提出被告人具有自首情节的辩护意见，经查，根据抓获经过证实，被告人系被抓获归案，其行为不符合自首的构成要件，该项辩护意见与本案查明的事实、证据不符，本院不予采纳；关于辩护人提出“适用缓刑，并免除罚金”的辩护意见，综合考虑被告人犯罪主观恶性、行为客观危害性以及具体犯罪事实和量刑情节、认为不宜对其适用缓刑及免除罚金刑，辩护人该项辩护意见本院不予采纳。</w:t>
      </w:r>
    </w:p>
    <w:p>
      <w:pPr>
        <w:jc w:val="left"/>
      </w:pPr>
      <w:r>
        <w:t>本院认为，被告人刘某勇明知是犯罪所得，仍帮助转移资金人民币205207元，其行为构成掩饰、隐瞒犯罪所得罪，应依法予以惩处。公诉机关的指控成立。被告人刘某勇曾因故意犯罪被判处有期徒刑以上刑罚，刑满释放后五年内再犯应当判处有期徒刑以上刑罚之罪，系累犯，应当从重处罚。被告人刘某勇在共同犯罪中起辅助作用，系从犯，应当从轻处罚。被告人刘某勇到案后如实供述个人罪行，系坦白，可对其从轻处罚；自愿认罪认罚，可对其从宽处理。辩护人所提辩护意见部分成立，本院部分予以采纳。公诉机关的量刑建议适当。据此，依照《中华人民共和国刑法》第三百一十二条、第二十七条、第六十七条第三款、第六十一条、第六十二条、第五十二条、第五十三条、第六十四条以及《中华人民共和国刑事诉讼法》第十五条、第二百零一条之规定，判决如下：</w:t>
      </w:r>
    </w:p>
    <w:p>
      <w:pPr>
        <w:jc w:val="left"/>
      </w:pPr>
      <w:r>
        <w:t>一、被告人刘某勇犯掩饰、隐瞒犯罪所得罪，判处有期徒刑一年九个月，并处罚金人民币3000元。</w:t>
      </w:r>
    </w:p>
    <w:p>
      <w:pPr>
        <w:jc w:val="left"/>
      </w:pPr>
      <w:r>
        <w:t>（刑期从判决执行之日起计算，判决执行以前先行羁押的，羁押一日折抵刑期一日，扣除先行羁押的33日。即自罚金于判决生效后十日内缴纳。）</w:t>
      </w:r>
    </w:p>
    <w:p>
      <w:pPr>
        <w:jc w:val="left"/>
      </w:pPr>
      <w:r>
        <w:t>二、被告人刘某勇犯罪所得人民币500元，继续追缴，依法予以没收，上缴国库。</w:t>
      </w:r>
    </w:p>
    <w:p>
      <w:pPr>
        <w:jc w:val="left"/>
      </w:pPr>
      <w:r>
        <w:t>如不服本判决，可在接到判决书的第二日起十日内，通过本院或者直接向贵州省贵阳市中级人民法院提出上诉。书面上诉的，应当提交上诉状正本一份，副本二份。</w:t>
      </w:r>
    </w:p>
    <w:p>
      <w:pPr>
        <w:jc w:val="left"/>
      </w:pPr>
      <w:r>
        <w:t>审判员　　沈帅</w:t>
      </w:r>
    </w:p>
    <w:p>
      <w:pPr>
        <w:jc w:val="left"/>
      </w:pPr>
      <w:r>
        <w:t>二〇二四年七月十日</w:t>
      </w:r>
    </w:p>
    <w:p>
      <w:pPr>
        <w:jc w:val="left"/>
      </w:pPr>
      <w:r>
        <w:t>书记员　　安娜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