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山西省河津市人民法院</w:t>
      </w:r>
    </w:p>
    <w:p>
      <w:pPr>
        <w:jc w:val="center"/>
      </w:pPr>
      <w:r>
        <w:t>刑事判决书</w:t>
      </w:r>
    </w:p>
    <w:p>
      <w:pPr>
        <w:jc w:val="right"/>
      </w:pPr>
      <w:r>
        <w:t>（2024）晋0882刑初158号</w:t>
      </w:r>
    </w:p>
    <w:p>
      <w:pPr>
        <w:jc w:val="left"/>
      </w:pPr>
      <w:r>
        <w:t>公诉机关山西省河津市人民检察院。</w:t>
      </w:r>
    </w:p>
    <w:p>
      <w:pPr>
        <w:jc w:val="left"/>
      </w:pPr>
      <w:r>
        <w:t>被告人张某,男,汉族,高中文化程度,务工,户籍所在地山西省运城市河津市僧楼镇。因涉嫌掩饰、隐瞒犯罪所得罪2023年2月11日主动投案后被河津市公安局刑事拘留,2023年3月21日被河津市公安局取保候审,2024年3月11日被河津市人民检察院取保候审，2024年5月20日被本院取保候审。</w:t>
      </w:r>
    </w:p>
    <w:p>
      <w:pPr>
        <w:jc w:val="left"/>
      </w:pPr>
      <w:r>
        <w:t>指定辩护人王某，山西龙门律师事务所律师。</w:t>
      </w:r>
    </w:p>
    <w:p>
      <w:pPr>
        <w:jc w:val="left"/>
      </w:pPr>
      <w:r>
        <w:t>河津市人民检察院以河检刑诉〔2024〕136号起诉书指控被告人张某犯掩饰、隐瞒犯罪所得罪，于2024年5月6日向本院提起公诉。本院依法组成合议庭于2024年5月20日公开开庭审理了本案。河津市人民检察院指派检察官吴某出庭支持公诉，被告人张某及其辩护人到庭参加诉讼。本案现已审理终结。</w:t>
      </w:r>
    </w:p>
    <w:p>
      <w:pPr>
        <w:jc w:val="left"/>
      </w:pPr>
      <w:r>
        <w:t>公诉机关指控，1.2022年11月25日,被告人张某通过微信兼职群添加微信名为“雷”的网友,该网友称使用张某的银行卡用于京东、云闪付过账,并承诺每过1万元给其100元好处费。随后张某与“雷”安排的用卡人见面,并将其农业银行卡(622848012879608****)、手机、身份证及支付密码交给用卡人用于过账。该银行卡共过账12万元。用卡人使用张某的农业银行卡在ATM机取现2万元,剩余转出。张某获利1200元;2.2022年12月2日,被告人张某再次将其中国邮政储蓄银行卡(621622160000058****)交给“雷”安排的人用于过账,该银行卡共过账9万元。张某帮助用卡人在ATM机取现1.5万元,剩余转出。张某获利900元。3.2022年12月22日,被告人张某通过微信兼职群添加微信名为“好运来”的网友,该网友称使用张某的银行卡用于数字人民币、云闪付过账,并承诺每过1万元会给其100元好处费。随后张某与“好运来”安排的用卡人见面,张某在得知之前两次让别人使用的中国农业银行卡和中国邮政储蓄银行卡均被冻结的前提下,仍将自己的中国银行卡（621786810000222****)交给用卡人用于过账,该银行卡过账7.05万元。张某帮助用卡人在ATM机取现5000元,剩余转出。张某获利700元。经调取国家反诈平台数据,张某涉案三张银行卡涉嫌电信诈骗串并案5起:1、2022年11月25日,受害人张某1向该张尾号为6774的农业银行卡转账一笔20000元；2、2022年11月25日,受害人安某向该张尾号为6774的农业银行卡转账一笔10000元;3、2022年12月2日,受害人童某向该张尾号为2805的中国邮政储蓄银行卡转账1笔45000元;4、2022年12月2日,受害人胡某向该张尾号为2805的中国邮政储蓄银行卡转账1笔40119元;5、2022年12月22日,受害人王某向该张尾号为2399的中国银行卡转账1笔9000元。经统计,张某涉案三张银行卡交易流水达28万元,被骗资金12.4余万元,张某的银行卡在ATM机上取现4万元。张某获利2800元。2023年2月11日张某经公安民警电话联系后主动到河津市公安局投案。公诉机关提交了被告人张某的户籍证明、到案经过、讯问笔录、受案登记表、立案决定书、银行交易明细清单、扣押清单、证人王某等人的询问笔录等证据证实上述指控事实。公诉机关认为，被告人张某行为应当以掩饰、隐瞒犯罪所得罪追究刑事责任，建议判处有期徒刑八个月，并处罚金。</w:t>
      </w:r>
    </w:p>
    <w:p>
      <w:pPr>
        <w:jc w:val="left"/>
      </w:pPr>
      <w:r>
        <w:t>被告人张某对指控的事实、罪名及量刑建议均无异议，自愿认罪认罚。</w:t>
      </w:r>
    </w:p>
    <w:p>
      <w:pPr>
        <w:jc w:val="left"/>
      </w:pPr>
      <w:r>
        <w:t>经审理查明的事实、证据与公诉机关的指控一致。</w:t>
      </w:r>
    </w:p>
    <w:p>
      <w:pPr>
        <w:jc w:val="left"/>
      </w:pPr>
      <w:r>
        <w:t>本院认为，被告人张某明知他人用其银行卡转移违法资金,仍提供银行卡并帮助取现,其行为构成掩饰、隐瞒犯罪所得罪。公诉机关的指控成立。被告人张某犯罪后主动投案并如实供述自己的犯罪事实，系自首。被告人张某有自首情节、认罪认罚,可以从轻处罚。被告人张某退缴的违法所得应予没收，上缴国库。公诉机关的量刑建议适当。依照《中华人民共和国刑法》国刑法》第三百一十二条第一款、第六十七条第一款、第六十四条、《中华人民共和国刑事诉讼法》第十五条、第二百零一条之规定，判决如下：</w:t>
      </w:r>
    </w:p>
    <w:p>
      <w:pPr>
        <w:jc w:val="left"/>
      </w:pPr>
      <w:r>
        <w:t>一、被告人张某犯掩饰、隐瞒犯罪所得罪，判处有期徒刑八个月，并处罚金人民币六千元。</w:t>
      </w:r>
    </w:p>
    <w:p>
      <w:pPr>
        <w:jc w:val="left"/>
      </w:pPr>
      <w:r>
        <w:t>（刑期从判决执行之日起计算，判决执行前先行羁押的，羁押一日折抵刑期一日，罚金自本判决发生法律效力之日起十日内缴纳。）</w:t>
      </w:r>
    </w:p>
    <w:p>
      <w:pPr>
        <w:jc w:val="left"/>
      </w:pPr>
      <w:r>
        <w:t>二、扣押在案的被告人张某违法所得人民币二千八百元，予以没收，上缴国库。</w:t>
      </w:r>
    </w:p>
    <w:p>
      <w:pPr>
        <w:jc w:val="left"/>
      </w:pPr>
      <w:r>
        <w:t>如不服本判决，可在接到判决书第二日起十日内，通过本院或者直接向山西省运城市中级人民法院提出上诉。书面上诉的，应当提交上诉状正本一份，副本二份。</w:t>
      </w:r>
    </w:p>
    <w:p>
      <w:pPr>
        <w:jc w:val="left"/>
      </w:pPr>
      <w:r>
        <w:t>审判长任亚梅</w:t>
      </w:r>
    </w:p>
    <w:p>
      <w:pPr>
        <w:jc w:val="left"/>
      </w:pPr>
      <w:r>
        <w:t>人民陪审员张丽霞</w:t>
      </w:r>
    </w:p>
    <w:p>
      <w:pPr>
        <w:jc w:val="left"/>
      </w:pPr>
      <w:r>
        <w:t>人民陪审员张敏</w:t>
      </w:r>
    </w:p>
    <w:p>
      <w:pPr>
        <w:jc w:val="left"/>
      </w:pPr>
      <w:r>
        <w:t>二〇二四年五月二十一日</w:t>
      </w:r>
    </w:p>
    <w:p>
      <w:pPr>
        <w:jc w:val="left"/>
      </w:pPr>
      <w:r>
        <w:t>书记员卫娜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