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江西省兴国县人民法院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（2024）赣0732刑初134号</w:t>
      </w:r>
    </w:p>
    <w:p>
      <w:pPr>
        <w:jc w:val="left"/>
      </w:pPr>
      <w:r>
        <w:t>公诉机关江西省兴国县人民检察院。</w:t>
      </w:r>
    </w:p>
    <w:p>
      <w:pPr>
        <w:jc w:val="left"/>
      </w:pPr>
      <w:r>
        <w:t>被告人钟某城，男，2003年9月9日出生，江西省兴国县人，初中文化，务工，户籍所在地江西省赣州市兴国县。因犯聚众斗殴罪，2020年9月22日被本院判处有期徒刑一年六个月，于2021年3月24日刑满释放。因涉嫌犯掩饰、隐瞒犯罪所得罪，于2023年7月6日被兴国县公安局取保候审，2024年2月19日被兴国县人民检察院取保候审，经本院决定，于2024年6月6日被逮捕。现羁押于兴国县看守所。</w:t>
      </w:r>
    </w:p>
    <w:p>
      <w:pPr>
        <w:jc w:val="left"/>
      </w:pPr>
      <w:r>
        <w:t>江西省兴国县人民检察院以兴检刑诉〔2024〕109号起诉书，指控被告人钟某城犯掩饰、隐瞒犯罪所得罪，于2024年5月17日向本院提起公诉。本院于同日立案受理，并依法适用简易程序，实行独任审判，于2024年5月24日公开开庭审理了本案。兴国县人民检察院指派副检察长李雯、检察官助理张静出庭支持公诉，被告人钟某城到庭参加诉讼。现已审理终结。</w:t>
      </w:r>
    </w:p>
    <w:p>
      <w:pPr>
        <w:jc w:val="left"/>
      </w:pPr>
      <w:r>
        <w:t>公诉机关指控：2022年7月18日，被告人钟某城在李某炜（另案处理）等人的介绍下，明知他人所转移的资金系网络赌博等违法犯罪资金，提供自己中国农业银行卡，并实施转账、刷脸、套现等行为帮助转移资金。经统计，被告人钟某城的中国农业银行卡共计转出168553元，其中核实到被电信诈骗资金35642元。</w:t>
      </w:r>
    </w:p>
    <w:p>
      <w:pPr>
        <w:jc w:val="left"/>
      </w:pPr>
      <w:r>
        <w:t>2022年9月12日，被告人钟某城在谢某星（另案处理）的介绍下，明知他人所转移的资金系网络赌博等违法犯罪资金，仍提供自己的手机、数字人民币ＡＰＰ、中国建设银行卡及配套支付密码，并实施转账、刷脸、取现等行为帮助转移资金。经统计，被告人钟某城的中国建设银行卡共计转出127200元，其中核实到被电信诈骗资金13000元。</w:t>
      </w:r>
    </w:p>
    <w:p>
      <w:pPr>
        <w:jc w:val="left"/>
      </w:pPr>
      <w:r>
        <w:t>综上，被告人钟某城提供的两张银行卡涉案流水共计295753元，其中核实为被电信诈骗资金48642元。案发后，被告人钟某城经民警电话传唤后自行到兴国县公安局接受调查，退缴全部违法所得。</w:t>
      </w:r>
    </w:p>
    <w:p>
      <w:pPr>
        <w:jc w:val="left"/>
      </w:pPr>
      <w:r>
        <w:t>公诉机关认为，被告人钟某城明知他人所转资金系违法犯罪所得，仍提供银行卡，并实施转账、刷脸、套现、取现等行为帮助转移资金，应当以掩饰、隐瞒犯罪所得罪追究其刑事责任。被告人钟某城认罪认罚，可以从宽处理。被告人钟某城具有《中华人民共和国刑法》第二十七条第一款、第六十七条第一款的情节。建议判处被告人钟某城拘役五个月，并处罚金人民币五千元。公诉机关为支持指控向法庭提供受案登记表、立案决定书，归案情况说明，常住人口信息表，本院（2020）赣0732刑初44号刑事判决书、刑满释放证明书，扣押决定书、扣押清单，情况说明，微信支付交易明细证明，钟某城尾号6671中国农业银行账户、尾号7757中国建设银行账户交易明细，支付宝交易流水、支付宝个人信息截图，建设银行Ａｐｐ截图，被害人刘某丽、陈某君、胡某霞、吴某、董某佳、谢某丽、宋某花、李某林、范某兰、齐某浩、徐某霞、杨某园、郭某莲、刘某怡、伍某莎、张某甲、李某平、黎某的陈述，同案人李某炜、谢某星的供述，辨认笔录，被告人钟某城在侦查阶段的供述。</w:t>
      </w:r>
    </w:p>
    <w:p>
      <w:pPr>
        <w:jc w:val="left"/>
      </w:pPr>
      <w:r>
        <w:t>被告人钟某城对公诉机关指控的犯罪事实、罪名及提出的量刑建议均无异议，自愿认罪认罚。</w:t>
      </w:r>
    </w:p>
    <w:p>
      <w:pPr>
        <w:jc w:val="left"/>
      </w:pPr>
      <w:r>
        <w:t>经本院审理查明的事实、证据与公诉机关的指控一致。另查明，被告人钟某城共计非法获利5900元。</w:t>
      </w:r>
    </w:p>
    <w:p>
      <w:pPr>
        <w:jc w:val="left"/>
      </w:pPr>
      <w:r>
        <w:t>本院认为，被告人钟某城明知他人的资金来路不正，仍提供银行账户帮助转移，其行为已构成掩饰、隐瞒犯罪所得罪。公诉机关指控被告人钟某城的罪名成立，本院予以确认。被告人钟某城自动到案，并如实供述主要犯罪事实，系自首，依法可以从轻处罚；在共同犯罪中起次要作用，系从犯，依法应当从轻处罚；自愿认罪认罚，依法可以从宽处理；已全部退赃，可以酌情从轻处罚。根据被告人钟某城犯罪的事实、性质、情节和对于社会的危害程度以及悔罪表现综合评判，公诉机关所提的量刑建议适当，予以采纳。为打击电信网络诈骗活动，惩治犯罪，依照《中华人民共和国刑法》第三百一十二条第一款、第二十五条第一款、第二十七条、第六十七条第一款、第六十四条，《最高人民法院关于审理掩饰、隐瞒犯罪所得、犯罪所得收益刑事案件适用法律若干问题的解释》第一条第二款，《中华人民共和国刑事诉讼法》第十五条、第二百零一条第一款之规定，判决如下：</w:t>
      </w:r>
    </w:p>
    <w:p>
      <w:pPr>
        <w:jc w:val="left"/>
      </w:pPr>
      <w:r>
        <w:t>一、被告人钟某城犯掩饰、隐瞒犯罪所得罪，判处拘役五个月，并处罚金人民币五千元。</w:t>
      </w:r>
    </w:p>
    <w:p>
      <w:pPr>
        <w:jc w:val="left"/>
      </w:pPr>
      <w:r>
        <w:t>（刑期从判决执行之日起计算。判决执行以前先行羁押的，羁押一日折抵刑期一日。即自2024年6月6日起至2024年11月5日止）</w:t>
      </w:r>
    </w:p>
    <w:p>
      <w:pPr>
        <w:jc w:val="left"/>
      </w:pPr>
      <w:r>
        <w:t>（罚金限被告人钟某城在判决发生法律效力第二日起一个月内缴纳）</w:t>
      </w:r>
    </w:p>
    <w:p>
      <w:pPr>
        <w:jc w:val="left"/>
      </w:pPr>
      <w:r>
        <w:t>二、被告人钟某城退缴的犯罪所得赃款计人民币五千九百元，予以没收，由收缴机关依法上缴国库。</w:t>
      </w:r>
    </w:p>
    <w:p>
      <w:pPr>
        <w:jc w:val="left"/>
      </w:pPr>
      <w:r>
        <w:t>如不服本判决，可在接到判决书的第二日起十日内，通过本院或者直接向江西省赣州市中级人民法院提出上诉。书面上诉的，应当提交上诉状正本一份，副本二份。</w:t>
      </w:r>
    </w:p>
    <w:p>
      <w:pPr>
        <w:jc w:val="left"/>
      </w:pPr>
      <w:r>
        <w:t>审判员肖鹏</w:t>
      </w:r>
    </w:p>
    <w:p>
      <w:pPr>
        <w:jc w:val="left"/>
      </w:pPr>
      <w:r>
        <w:t>二〇二四年六月六日</w:t>
      </w:r>
    </w:p>
    <w:p>
      <w:pPr>
        <w:jc w:val="left"/>
      </w:pPr>
      <w:r>
        <w:t>法官助理李立</w:t>
      </w:r>
    </w:p>
    <w:p>
      <w:pPr>
        <w:jc w:val="left"/>
      </w:pPr>
      <w:r>
        <w:t>代书记员肖玉珍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