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湖南省张家界市武陵源区人民法院</w:t>
      </w:r>
    </w:p>
    <w:p>
      <w:pPr>
        <w:jc w:val="center"/>
      </w:pPr>
      <w:r>
        <w:t>刑事判决书</w:t>
      </w:r>
    </w:p>
    <w:p>
      <w:pPr>
        <w:jc w:val="right"/>
      </w:pPr>
      <w:r>
        <w:t>（2024）湘0811刑初24号</w:t>
      </w:r>
    </w:p>
    <w:p>
      <w:pPr>
        <w:jc w:val="left"/>
      </w:pPr>
      <w:r>
        <w:t>公诉机关湖南省张家界市武陵源区人民检察院。</w:t>
      </w:r>
    </w:p>
    <w:p>
      <w:pPr>
        <w:jc w:val="left"/>
      </w:pPr>
      <w:r>
        <w:t>被告人仇某伟，男，1974年8月7日出生，汉族，初中文化。因涉嫌犯帮助信息网络犯罪活动罪于2024年1月19日被张家界市公安局武陵源区分局决定取保候审，2024年6月20日被本院决定取保候审，现居住在家。</w:t>
      </w:r>
    </w:p>
    <w:p>
      <w:pPr>
        <w:jc w:val="left"/>
      </w:pPr>
      <w:r>
        <w:t>湖南省张家界市武陵源区人民检察院以张武检刑诉（2024）15号起诉书指控被告人仇某伟犯帮助信息网络犯罪活动罪，于2024年6月19日向本院提起公诉。本院于同日受理，依法适用速裁程序于2024年6月21日公开开庭审理了本案。张家界市武陵源区人民检察院指派检察官滕辉、检察官助理付小凤出庭支持公诉，被告人仇某伟到庭参加诉讼。本案现已审理终结。</w:t>
      </w:r>
    </w:p>
    <w:p>
      <w:pPr>
        <w:jc w:val="left"/>
      </w:pPr>
      <w:r>
        <w:t>经审理查明：</w:t>
      </w:r>
    </w:p>
    <w:p>
      <w:pPr>
        <w:jc w:val="left"/>
      </w:pPr>
      <w:r>
        <w:t>2023年12月28日中午，一个标记为江苏苏州的号码131××××****联系被告人仇某伟，称其数字钱包限额，提出将其中的数字人民币转给仇某伟，仇某伟再按其要求转至指定账户，承诺给仇某伟2%的佣金。仇某伟同意后，双方添加微信好友（对方微信昵称：“农民”，微信号：×××22，具体身份不详，以下代称“农民”）。仇某伟将其名下的中国建设银行卡6236××××2834绑定的一类数字钱包xx0083、二类数字钱包xx3192以及中国邮政储蓄银行卡6217××××5234新申请绑定的商户钱包xx0231收款码均提供给“农民”。2023年12月29日至2024年1月17日，三个钱包先后共计收款人民币1214347.68元。仇某伟按照“农民”提供的收款二维码给“农民”转出人民币1189554.66元，从中获利人民币24793.02元。其中申某被诈骗的人民币16398.8元于2024年1月12日转入仇某伟尾号为0231的商户钱包。2024年1月18日，仇某伟被抓获归案，同日“农民”又向仇某伟尾号为3192的数字钱包转入人民币4万元。案发后，仇某伟退缴全部违法所得，并补偿上游犯罪被害人申某人民币16398.8元。</w:t>
      </w:r>
    </w:p>
    <w:p>
      <w:pPr>
        <w:jc w:val="left"/>
      </w:pPr>
      <w:r>
        <w:t>上述事实，被告人仇某伟在开庭审理过程中均无异议，且有书证仇某伟所属中国建设银行个人钱包交易明细查询详情、中国邮政储蓄银行钱包交易明细，微信、支付宝付款截图，申某所属中国农业银行银行卡交易明细清单，证人申某的证言，张家界市公安局武陵源分局的接报案登记表、立案决定书，扣押决定书，扣押物品、文件清单，湖南省非税收入一般缴款书，发还物品、文件清单，照片，抓获经过，常住人口基本信息等证据证明，足以认定。</w:t>
      </w:r>
    </w:p>
    <w:p>
      <w:pPr>
        <w:jc w:val="left"/>
      </w:pPr>
      <w:r>
        <w:t>公诉机关提出对被告人仇某伟判处拘役二个月，缓刑三个月,并处罚金人民币二千元的量刑建议。仇某伟认罪认罚并签字具结。</w:t>
      </w:r>
    </w:p>
    <w:p>
      <w:pPr>
        <w:jc w:val="left"/>
      </w:pPr>
      <w:r>
        <w:t>本院认为，被告人仇某伟明知他人利用信息网络实施犯罪仍提供数字钱包进行支付结算帮助，情节严重，其行为已构成帮助信息网络犯罪活动罪，依法应当追究刑事责任。公诉机关指控事实及罪名成立。仇某伟归案后如实供述自己的罪行，依法可以从轻处罚。其退缴违法所得、认罪认罚，且自愿补偿已查实的上游诈骗犯罪被害人全部经济损失，依法可以从宽处理。鉴于仇某伟有悔罪表现、没有再犯罪危险、宣告缓刑对所居住社区没有重大不良影响，结合社区矫正部门的社会调查评估意见，可以宣告缓刑。公诉机关所提量刑建议适当，本院予以采纳。仇某伟退缴的违法所得应当予以没收。根据《中华人民共和国刑法》第二百八十七条之二第一款，第六十七条第三款，第七十二条第一款，第七十三条第一款，第六十四条，《最高人民法院、最高人民检察院关于办理非法利用信息网络、帮助信息网络犯罪活动等刑事案件适用法律若干问题的解释》第十二条第一款第（二）项、第（四）项以及《中华人民共和国刑事诉讼法》第十五条的规定，判决如下：</w:t>
      </w:r>
    </w:p>
    <w:p>
      <w:pPr>
        <w:jc w:val="left"/>
      </w:pPr>
      <w:r>
        <w:t>一、被告人仇某伟犯帮助信息网络犯罪活动罪，判处拘役二个月，缓刑三个月，并处罚金人民币二千元，罚金限判决生效后三日内缴纳；</w:t>
      </w:r>
    </w:p>
    <w:p>
      <w:pPr>
        <w:jc w:val="left"/>
      </w:pPr>
      <w:r>
        <w:t>（缓刑考验期限，从判决确定之日起计算。）</w:t>
      </w:r>
    </w:p>
    <w:p>
      <w:pPr>
        <w:jc w:val="left"/>
      </w:pPr>
      <w:r>
        <w:t>二、被告人仇某伟退缴的违法所得人民币64793.02元，予以没收，由扣押机关张家界市公安局武陵源分局上缴国库。</w:t>
      </w:r>
    </w:p>
    <w:p>
      <w:pPr>
        <w:jc w:val="left"/>
      </w:pPr>
      <w:r>
        <w:t>如不服本判决，可在接到判决书的第二日起十日内，通过本院或者直接向湖南省张家界市中级人民法院提出上诉。书面上诉的，应当提交上诉状正本一份，副本二份。</w:t>
      </w:r>
    </w:p>
    <w:p>
      <w:pPr>
        <w:jc w:val="left"/>
      </w:pPr>
      <w:r>
        <w:t>审判员刘瑶</w:t>
      </w:r>
    </w:p>
    <w:p>
      <w:pPr>
        <w:jc w:val="left"/>
      </w:pPr>
      <w:r>
        <w:t>二〇二四年六月二十一日</w:t>
      </w:r>
    </w:p>
    <w:p>
      <w:pPr>
        <w:jc w:val="left"/>
      </w:pPr>
      <w:r>
        <w:t>法官助理黄倩</w:t>
      </w:r>
    </w:p>
    <w:p>
      <w:pPr>
        <w:jc w:val="left"/>
      </w:pPr>
      <w:r>
        <w:t>书记员汤礼</w:t>
      </w:r>
    </w:p>
    <w:p>
      <w:pPr>
        <w:jc w:val="left"/>
      </w:pPr>
      <w:r>
        <w:t>附：相关法律规定</w:t>
      </w:r>
    </w:p>
    <w:p>
      <w:pPr>
        <w:jc w:val="left"/>
      </w:pPr>
      <w:r>
        <w:t>《中华人民共和国刑法》</w:t>
      </w:r>
    </w:p>
    <w:p>
      <w:pPr>
        <w:jc w:val="left"/>
      </w:pPr>
      <w:r>
        <w:t>第二百八十七条之二明知他人利用信息网络实施犯罪，为其犯罪提供互联网接入、服务器托管、网络存储、通讯传输等技术支持，或者提供广告推广、支付结算等帮助，情节严重的，处三年以下有期徒刑或者拘役，并处或者单处罚金。</w:t>
      </w:r>
    </w:p>
    <w:p>
      <w:pPr>
        <w:jc w:val="left"/>
      </w:pPr>
      <w:r>
        <w:t>单位犯前款罪的，对单位判处罚金，并对其直接负责的主管人员和其他直接责任人员，依照第一款的规定处罚。</w:t>
      </w:r>
    </w:p>
    <w:p>
      <w:pPr>
        <w:jc w:val="left"/>
      </w:pPr>
      <w:r>
        <w:t>有前两款行为，同时构成其他犯罪的，依照处罚较重的规定定罪处罚。</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第七十二条对于被判处拘役、三年以下有期徒刑的犯罪分子，同时符合下列条件的，可以宣告缓刑，对其中不满十八周岁的人、怀孕的妇女和已满七十五周岁的人，应当宣告缓刑：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宣告缓刑，可以根据犯罪情况，同时禁止犯罪分子在缓刑考验期限内从事特定活动，进入特定区域、场所，接触特定的人。</w:t>
      </w:r>
    </w:p>
    <w:p>
      <w:pPr>
        <w:jc w:val="left"/>
      </w:pPr>
      <w:r>
        <w:t>被宣告缓刑的犯罪分子，如果被判处附加刑，附加刑仍须执行。</w:t>
      </w:r>
    </w:p>
    <w:p>
      <w:pPr>
        <w:jc w:val="left"/>
      </w:pPr>
      <w:r>
        <w:t>第七十三条拘役的缓刑考验期限为原判刑期以上一年以下，但是不能少于二个月。</w:t>
      </w:r>
    </w:p>
    <w:p>
      <w:pPr>
        <w:jc w:val="left"/>
      </w:pPr>
      <w:r>
        <w:t>有期徒刑的缓刑考验期限为原判刑期以上五年以下，但是不能少于一年。</w:t>
      </w:r>
    </w:p>
    <w:p>
      <w:pPr>
        <w:jc w:val="left"/>
      </w:pPr>
      <w:r>
        <w:t>缓刑考验期限，从判决确定之日起计算。</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《最高人民法院、最高人民检察院关于办理非法利用信息网络、帮助信息网络犯罪活动等刑事案件适用法律若干问题的解释》</w:t>
      </w:r>
    </w:p>
    <w:p>
      <w:pPr>
        <w:jc w:val="left"/>
      </w:pPr>
      <w:r>
        <w:t>第十二条明知他人利用信息网络实施犯罪，为其犯罪提供帮助，具有下列情形之一的，应当认定为刑法第二百八十七条之二第一款规定的“情节严重”：</w:t>
      </w:r>
    </w:p>
    <w:p>
      <w:pPr>
        <w:jc w:val="left"/>
      </w:pPr>
      <w:r>
        <w:t>（一）为三个以上对象提供帮助的；</w:t>
      </w:r>
    </w:p>
    <w:p>
      <w:pPr>
        <w:jc w:val="left"/>
      </w:pPr>
      <w:r>
        <w:t>（二）支付结算金额二十万元以上的；</w:t>
      </w:r>
    </w:p>
    <w:p>
      <w:pPr>
        <w:jc w:val="left"/>
      </w:pPr>
      <w:r>
        <w:t>（三）以投放广告等方式提供资金五万元以上的；</w:t>
      </w:r>
    </w:p>
    <w:p>
      <w:pPr>
        <w:jc w:val="left"/>
      </w:pPr>
      <w:r>
        <w:t>（四）违法所得一万元以上的；</w:t>
      </w:r>
    </w:p>
    <w:p>
      <w:pPr>
        <w:jc w:val="left"/>
      </w:pPr>
      <w:r>
        <w:t>（五）二年内曾因非法利用信息网络、帮助信息网络犯罪活动、危害计算机信息系统安全受过行政处罚，又帮助信息网络犯罪活动的；</w:t>
      </w:r>
    </w:p>
    <w:p>
      <w:pPr>
        <w:jc w:val="left"/>
      </w:pPr>
      <w:r>
        <w:t>（六）被帮助对象实施的犯罪造成严重后果的；</w:t>
      </w:r>
    </w:p>
    <w:p>
      <w:pPr>
        <w:jc w:val="left"/>
      </w:pPr>
      <w:r>
        <w:t>（七）其他情节严重的情形。</w:t>
      </w:r>
    </w:p>
    <w:p>
      <w:pPr>
        <w:jc w:val="left"/>
      </w:pPr>
      <w:r>
        <w:t>实施前款规定的行为，确因客观条件限制无法查证被帮助对象是否达到犯罪的程度，但相关数额总计达到前款第二项至第四项规定标准五倍以上，或者造成特别严重后果的，应当以帮助信息网络犯罪活动罪追究行为人的刑事责任。</w:t>
      </w:r>
    </w:p>
    <w:p>
      <w:pPr>
        <w:jc w:val="left"/>
      </w:pPr>
      <w:r>
        <w:t>《中华人民共和国刑事诉讼法》</w:t>
      </w:r>
    </w:p>
    <w:p>
      <w:pPr>
        <w:jc w:val="left"/>
      </w:pPr>
      <w:r>
        <w:t>第十五条犯罪嫌疑人、被告人自愿如实供述自己的罪行，承认指控的犯罪事实，愿意接受处罚的，可以依法从宽处理。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